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EF5794" w:rsidRPr="00EF5794" w:rsidRDefault="00EF5794" w:rsidP="00EF5794">
      <w:pPr>
        <w:spacing w:before="120"/>
        <w:rPr>
          <w:rFonts w:ascii="Arial" w:eastAsia="Calibri" w:hAnsi="Arial" w:cs="Arial"/>
          <w:sz w:val="22"/>
          <w:szCs w:val="22"/>
        </w:rPr>
      </w:pPr>
      <w:r w:rsidRPr="00EF5794">
        <w:rPr>
          <w:rFonts w:ascii="Arial" w:eastAsia="Calibri" w:hAnsi="Arial" w:cs="Arial"/>
          <w:sz w:val="22"/>
          <w:szCs w:val="22"/>
        </w:rPr>
        <w:t>The Ames Metro gained a slight 200 jobs and now rests at 55,500 jobs. The gain this month is modest for the MSA and is due entirely to gains in state and local government of 100 jobs. Private services were stagnant in November.</w:t>
      </w:r>
    </w:p>
    <w:p w:rsidR="00BE3A93" w:rsidRDefault="00EF5794" w:rsidP="00EF5794">
      <w:pPr>
        <w:spacing w:before="120"/>
        <w:rPr>
          <w:rFonts w:ascii="Arial" w:hAnsi="Arial" w:cs="Arial"/>
          <w:b/>
        </w:rPr>
      </w:pPr>
      <w:r w:rsidRPr="00EF5794">
        <w:rPr>
          <w:rFonts w:ascii="Arial" w:eastAsia="Calibri" w:hAnsi="Arial" w:cs="Arial"/>
          <w:sz w:val="22"/>
          <w:szCs w:val="22"/>
        </w:rPr>
        <w:t>Compared to last November, private services have advanced by 700 jobs and government is up by 200 jobs. Alternatively, goods producing sectors have pared jobs annually (-500).</w:t>
      </w:r>
    </w:p>
    <w:p w:rsidR="00EF5794" w:rsidRDefault="00EF5794"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EF5794" w:rsidRPr="00EF5794" w:rsidRDefault="00EF5794" w:rsidP="00EF5794">
      <w:pPr>
        <w:spacing w:before="120"/>
        <w:jc w:val="both"/>
        <w:rPr>
          <w:rFonts w:ascii="Arial" w:eastAsia="Calibri" w:hAnsi="Arial" w:cs="Arial"/>
          <w:sz w:val="22"/>
          <w:szCs w:val="22"/>
        </w:rPr>
      </w:pPr>
      <w:r w:rsidRPr="00EF5794">
        <w:rPr>
          <w:rFonts w:ascii="Arial" w:eastAsia="Calibri" w:hAnsi="Arial" w:cs="Arial"/>
          <w:sz w:val="22"/>
          <w:szCs w:val="22"/>
        </w:rPr>
        <w:t xml:space="preserve">The Cedar Rapids metropolitan statistical area added 600 nonfarm jobs from October, bringing employment to 144,300. Total nonfarm employment in the metro area has added 1,900 jobs from one year ago. </w:t>
      </w:r>
    </w:p>
    <w:p w:rsidR="00EF5794" w:rsidRPr="00EF5794" w:rsidRDefault="00EF5794" w:rsidP="00EF5794">
      <w:pPr>
        <w:spacing w:before="120"/>
        <w:jc w:val="both"/>
        <w:rPr>
          <w:rFonts w:ascii="Arial" w:eastAsia="Calibri" w:hAnsi="Arial" w:cs="Arial"/>
          <w:sz w:val="22"/>
          <w:szCs w:val="22"/>
        </w:rPr>
      </w:pPr>
      <w:r w:rsidRPr="00EF5794">
        <w:rPr>
          <w:rFonts w:ascii="Arial" w:eastAsia="Calibri" w:hAnsi="Arial" w:cs="Arial"/>
          <w:sz w:val="22"/>
          <w:szCs w:val="22"/>
        </w:rPr>
        <w:t xml:space="preserve">Trade, transportation and warehousing led all sectors, adding 400 jobs from last month. The bulk of the gain (300) was in retail trade as the holiday shopping season began. Professional and business services gained 300 jobs. Smaller gains occurred in financial activities and government.  </w:t>
      </w:r>
    </w:p>
    <w:p w:rsidR="00EF5794" w:rsidRPr="00EF5794" w:rsidRDefault="00EF5794" w:rsidP="00EF5794">
      <w:pPr>
        <w:spacing w:before="120"/>
        <w:jc w:val="both"/>
        <w:rPr>
          <w:rFonts w:ascii="Arial" w:eastAsia="Calibri" w:hAnsi="Arial" w:cs="Arial"/>
          <w:sz w:val="22"/>
          <w:szCs w:val="22"/>
        </w:rPr>
      </w:pPr>
      <w:r w:rsidRPr="00EF5794">
        <w:rPr>
          <w:rFonts w:ascii="Arial" w:eastAsia="Calibri" w:hAnsi="Arial" w:cs="Arial"/>
          <w:sz w:val="22"/>
          <w:szCs w:val="22"/>
        </w:rPr>
        <w:t>Employment losses of 100 in natural resources and construction, manufacturing, and leisure and hospitality partially offset the total nonfarm employment gain.</w:t>
      </w:r>
    </w:p>
    <w:p w:rsidR="00FE480F" w:rsidRDefault="00EF5794" w:rsidP="00EF5794">
      <w:pPr>
        <w:spacing w:before="120"/>
        <w:jc w:val="both"/>
        <w:rPr>
          <w:rFonts w:ascii="Arial" w:eastAsia="Calibri" w:hAnsi="Arial" w:cs="Arial"/>
          <w:sz w:val="22"/>
          <w:szCs w:val="22"/>
        </w:rPr>
      </w:pPr>
      <w:r w:rsidRPr="00EF5794">
        <w:rPr>
          <w:rFonts w:ascii="Arial" w:eastAsia="Calibri" w:hAnsi="Arial" w:cs="Arial"/>
          <w:sz w:val="22"/>
          <w:szCs w:val="22"/>
        </w:rPr>
        <w:t xml:space="preserve">Over the year, manufacturing, information and government are the only industries to pare jobs, shedding 400, 100 and 100, respectively. Professional and business services added jobs over the last three months to total 1,000 additional jobs over the year. </w:t>
      </w:r>
      <w:r w:rsidRPr="00EF5794">
        <w:rPr>
          <w:rFonts w:ascii="Arial" w:eastAsia="Calibri" w:hAnsi="Arial" w:cs="Arial"/>
          <w:sz w:val="22"/>
          <w:szCs w:val="22"/>
        </w:rPr>
        <w:cr/>
      </w:r>
    </w:p>
    <w:p w:rsidR="000251A6" w:rsidRDefault="000251A6" w:rsidP="000251A6">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EF5794" w:rsidRPr="00EF5794" w:rsidRDefault="00EF5794" w:rsidP="00EF5794">
      <w:pPr>
        <w:pStyle w:val="Heading1"/>
        <w:spacing w:before="120"/>
        <w:jc w:val="both"/>
        <w:rPr>
          <w:rFonts w:ascii="Arial" w:eastAsia="Calibri" w:hAnsi="Arial" w:cs="Arial"/>
          <w:b w:val="0"/>
          <w:bCs w:val="0"/>
          <w:sz w:val="22"/>
          <w:szCs w:val="22"/>
        </w:rPr>
      </w:pPr>
      <w:bookmarkStart w:id="0" w:name="OLE_LINK1"/>
      <w:bookmarkStart w:id="1" w:name="OLE_LINK2"/>
      <w:r w:rsidRPr="00EF5794">
        <w:rPr>
          <w:rFonts w:ascii="Arial" w:eastAsia="Calibri" w:hAnsi="Arial" w:cs="Arial"/>
          <w:b w:val="0"/>
          <w:bCs w:val="0"/>
          <w:sz w:val="22"/>
          <w:szCs w:val="22"/>
        </w:rPr>
        <w:t>The Des Moines Metropolitan added 1,100 jobs in November, raising the total to 359,800 jobs. The monthly gain is average for the metro and was heavily fueled by seasonal hiring in retail trade (+1,600). Trade and transportation combined added 1,800 jobs, the most of any super sector. Finance added an unexpected 800 jobs, while government advanced by 300 jobs. Seasonal losses are common in November and occurred in leisure and hospitality (-900) and construction (-200). Professional and business services pared 500 jobs following an unusually high gain in October.</w:t>
      </w:r>
    </w:p>
    <w:p w:rsidR="00632602" w:rsidRDefault="00EF5794" w:rsidP="00EF5794">
      <w:pPr>
        <w:pStyle w:val="Heading1"/>
        <w:spacing w:before="120"/>
        <w:jc w:val="both"/>
        <w:rPr>
          <w:rFonts w:ascii="Arial" w:eastAsia="Calibri" w:hAnsi="Arial" w:cs="Arial"/>
          <w:b w:val="0"/>
          <w:bCs w:val="0"/>
          <w:sz w:val="22"/>
          <w:szCs w:val="22"/>
        </w:rPr>
      </w:pPr>
      <w:r w:rsidRPr="00EF5794">
        <w:rPr>
          <w:rFonts w:ascii="Arial" w:eastAsia="Calibri" w:hAnsi="Arial" w:cs="Arial"/>
          <w:b w:val="0"/>
          <w:bCs w:val="0"/>
          <w:sz w:val="22"/>
          <w:szCs w:val="22"/>
        </w:rPr>
        <w:t xml:space="preserve">Annually, nonfarm employment is up 11,300 jobs (+3.2 percent). Despite the monthly drop, </w:t>
      </w:r>
      <w:proofErr w:type="gramStart"/>
      <w:r w:rsidRPr="00EF5794">
        <w:rPr>
          <w:rFonts w:ascii="Arial" w:eastAsia="Calibri" w:hAnsi="Arial" w:cs="Arial"/>
          <w:b w:val="0"/>
          <w:bCs w:val="0"/>
          <w:sz w:val="22"/>
          <w:szCs w:val="22"/>
        </w:rPr>
        <w:t>professional and business services has</w:t>
      </w:r>
      <w:proofErr w:type="gramEnd"/>
      <w:r w:rsidRPr="00EF5794">
        <w:rPr>
          <w:rFonts w:ascii="Arial" w:eastAsia="Calibri" w:hAnsi="Arial" w:cs="Arial"/>
          <w:b w:val="0"/>
          <w:bCs w:val="0"/>
          <w:sz w:val="22"/>
          <w:szCs w:val="22"/>
        </w:rPr>
        <w:t xml:space="preserve"> added the most jobs (+4,500). Leisure and hospitality is second in terms of annual growth (+2,600) followed by financial activities (+2,300). The only super sector to pare jobs over the last twelve months is information services (-300).</w:t>
      </w:r>
    </w:p>
    <w:p w:rsidR="001E00D5" w:rsidRPr="001E00D5" w:rsidRDefault="001E00D5" w:rsidP="001E00D5"/>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EF5794" w:rsidRPr="00EF5794" w:rsidRDefault="00EF5794" w:rsidP="00EF5794">
      <w:pPr>
        <w:spacing w:before="120"/>
        <w:jc w:val="both"/>
        <w:rPr>
          <w:rFonts w:ascii="Arial" w:eastAsia="Calibri" w:hAnsi="Arial" w:cs="Arial"/>
          <w:sz w:val="22"/>
          <w:szCs w:val="22"/>
        </w:rPr>
      </w:pPr>
      <w:r w:rsidRPr="00EF5794">
        <w:rPr>
          <w:rFonts w:ascii="Arial" w:eastAsia="Calibri" w:hAnsi="Arial" w:cs="Arial"/>
          <w:sz w:val="22"/>
          <w:szCs w:val="22"/>
        </w:rPr>
        <w:t xml:space="preserve">Total nonfarm employment was unchanged in November in the Dubuque area and remained at 60.600 jobs. Historically, nonfarm employment can be sluggish in November, but there was some movement within sectors. </w:t>
      </w:r>
      <w:proofErr w:type="gramStart"/>
      <w:r w:rsidRPr="00EF5794">
        <w:rPr>
          <w:rFonts w:ascii="Arial" w:eastAsia="Calibri" w:hAnsi="Arial" w:cs="Arial"/>
          <w:sz w:val="22"/>
          <w:szCs w:val="22"/>
        </w:rPr>
        <w:t>Private services gained 200 jobs due to hiring in trade and transportation but was</w:t>
      </w:r>
      <w:proofErr w:type="gramEnd"/>
      <w:r w:rsidRPr="00EF5794">
        <w:rPr>
          <w:rFonts w:ascii="Arial" w:eastAsia="Calibri" w:hAnsi="Arial" w:cs="Arial"/>
          <w:sz w:val="22"/>
          <w:szCs w:val="22"/>
        </w:rPr>
        <w:t xml:space="preserve"> offset by declines in goods producing sectors and local government.</w:t>
      </w:r>
    </w:p>
    <w:p w:rsidR="001E00D5" w:rsidRDefault="00EF5794" w:rsidP="00EF5794">
      <w:pPr>
        <w:spacing w:before="120"/>
        <w:jc w:val="both"/>
        <w:rPr>
          <w:rFonts w:ascii="Arial" w:hAnsi="Arial" w:cs="Arial"/>
          <w:b/>
        </w:rPr>
      </w:pPr>
      <w:r w:rsidRPr="00EF5794">
        <w:rPr>
          <w:rFonts w:ascii="Arial" w:eastAsia="Calibri" w:hAnsi="Arial" w:cs="Arial"/>
          <w:sz w:val="22"/>
          <w:szCs w:val="22"/>
        </w:rPr>
        <w:t>Annually, nonfarm employment is down 400 jobs versus one year ago. Private services are down 800 jobs. Goods producing sectors are up 400 and government is unchanged.</w:t>
      </w:r>
    </w:p>
    <w:p w:rsidR="00EF5794" w:rsidRDefault="00EF5794"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EF5794" w:rsidRPr="00EF5794" w:rsidRDefault="00EF5794" w:rsidP="00EF5794">
      <w:pPr>
        <w:spacing w:before="120"/>
        <w:jc w:val="both"/>
        <w:rPr>
          <w:rFonts w:ascii="Arial" w:hAnsi="Arial" w:cs="Arial"/>
          <w:sz w:val="22"/>
          <w:szCs w:val="22"/>
        </w:rPr>
      </w:pPr>
      <w:r w:rsidRPr="00EF5794">
        <w:rPr>
          <w:rFonts w:ascii="Arial" w:hAnsi="Arial" w:cs="Arial"/>
          <w:sz w:val="22"/>
          <w:szCs w:val="22"/>
        </w:rPr>
        <w:t xml:space="preserve">Nonfarm employment in the Iowa City metropolitan statistical area is 400 above last month as a result of gains in government (+300) and private service (+300) sectors. Trade, transportation and warehousing added 200 jobs, but remains 100 below one year ago. Goods producing industries remain 100 above one year ago. </w:t>
      </w:r>
    </w:p>
    <w:p w:rsidR="000251A6" w:rsidRDefault="00EF5794" w:rsidP="00EF5794">
      <w:pPr>
        <w:spacing w:before="120"/>
        <w:jc w:val="both"/>
        <w:rPr>
          <w:rFonts w:ascii="Arial" w:hAnsi="Arial" w:cs="Arial"/>
          <w:sz w:val="22"/>
          <w:szCs w:val="22"/>
        </w:rPr>
      </w:pPr>
      <w:r w:rsidRPr="00EF5794">
        <w:rPr>
          <w:rFonts w:ascii="Arial" w:hAnsi="Arial" w:cs="Arial"/>
          <w:sz w:val="22"/>
          <w:szCs w:val="22"/>
        </w:rPr>
        <w:t>Gains from one year ago totaled 1,000 jobs and were largely fueled by employment increases in service-providing industries (+600). Goods producing industries also increased, adding 400 jobs.</w:t>
      </w:r>
    </w:p>
    <w:p w:rsidR="00EF5794" w:rsidRDefault="00EF5794" w:rsidP="00EF5794">
      <w:pPr>
        <w:spacing w:before="120"/>
        <w:jc w:val="both"/>
        <w:rPr>
          <w:rFonts w:ascii="Arial" w:eastAsiaTheme="minorEastAsia" w:hAnsi="Arial" w:cs="Arial"/>
          <w:b/>
        </w:rPr>
      </w:pPr>
    </w:p>
    <w:p w:rsidR="00EF5794" w:rsidRDefault="00EF5794" w:rsidP="00AE4E39">
      <w:pPr>
        <w:rPr>
          <w:rFonts w:ascii="Arial" w:eastAsiaTheme="minorEastAsia" w:hAnsi="Arial" w:cs="Arial"/>
          <w:b/>
        </w:rPr>
      </w:pPr>
    </w:p>
    <w:p w:rsidR="00EF5794" w:rsidRDefault="00EF5794" w:rsidP="00AE4E39">
      <w:pPr>
        <w:rPr>
          <w:rFonts w:ascii="Arial" w:eastAsiaTheme="minorEastAsia" w:hAnsi="Arial" w:cs="Arial"/>
          <w:b/>
        </w:rPr>
      </w:pPr>
    </w:p>
    <w:p w:rsidR="00AE4E39" w:rsidRDefault="00AE4E39" w:rsidP="00AE4E39">
      <w:pPr>
        <w:rPr>
          <w:rFonts w:ascii="Arial" w:eastAsiaTheme="minorEastAsia" w:hAnsi="Arial" w:cs="Arial"/>
          <w:b/>
        </w:rPr>
      </w:pPr>
      <w:bookmarkStart w:id="2" w:name="_GoBack"/>
      <w:bookmarkEnd w:id="2"/>
      <w:r w:rsidRPr="002C0ABA">
        <w:rPr>
          <w:rFonts w:ascii="Arial" w:eastAsiaTheme="minorEastAsia" w:hAnsi="Arial" w:cs="Arial"/>
          <w:b/>
        </w:rPr>
        <w:lastRenderedPageBreak/>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EF5794" w:rsidRPr="00EF5794" w:rsidRDefault="00EF5794" w:rsidP="00EF5794">
      <w:pPr>
        <w:spacing w:before="120"/>
        <w:jc w:val="both"/>
        <w:rPr>
          <w:rFonts w:ascii="Arial" w:hAnsi="Arial" w:cs="Arial"/>
          <w:sz w:val="22"/>
          <w:szCs w:val="22"/>
        </w:rPr>
      </w:pPr>
      <w:r w:rsidRPr="00EF5794">
        <w:rPr>
          <w:rFonts w:ascii="Arial" w:hAnsi="Arial" w:cs="Arial"/>
          <w:sz w:val="22"/>
          <w:szCs w:val="22"/>
        </w:rPr>
        <w:t>Employment in the Sioux City MSA added 300 jobs from October. Gains in trade, transportation and warehousing represented nearly all of the increase, and the lion’s share of that increase was in retail trade (+600). The only exception is manufacturing, which added 100 jobs following three consecutive months of decline. Leisure and hospitality and professional and business services offset much of the gain with losses of 300 and 100 jobs, respectively.</w:t>
      </w:r>
    </w:p>
    <w:p w:rsidR="000251A6" w:rsidRDefault="00EF5794" w:rsidP="00EF5794">
      <w:pPr>
        <w:spacing w:before="120"/>
        <w:jc w:val="both"/>
        <w:rPr>
          <w:rFonts w:ascii="Arial" w:hAnsi="Arial" w:cs="Arial"/>
          <w:sz w:val="22"/>
          <w:szCs w:val="22"/>
        </w:rPr>
      </w:pPr>
      <w:r w:rsidRPr="00EF5794">
        <w:rPr>
          <w:rFonts w:ascii="Arial" w:hAnsi="Arial" w:cs="Arial"/>
          <w:sz w:val="22"/>
          <w:szCs w:val="22"/>
        </w:rPr>
        <w:t>Overall, the area has added 1,200 jobs from one year ago.  Trade, transportation and warehousing added 1,100 jobs, only 300 of which were in retail trade. Manufacturing remains 100 below the November 2014 level.</w:t>
      </w:r>
    </w:p>
    <w:p w:rsidR="00EF5794" w:rsidRPr="00FE480F" w:rsidRDefault="00EF5794" w:rsidP="00EF5794">
      <w:pPr>
        <w:spacing w:before="120"/>
        <w:jc w:val="both"/>
      </w:pPr>
    </w:p>
    <w:p w:rsidR="00AE4E39" w:rsidRDefault="00AE4E39" w:rsidP="00070D2E">
      <w:pPr>
        <w:pStyle w:val="Heading1"/>
        <w:rPr>
          <w:rFonts w:ascii="Arial" w:hAnsi="Arial" w:cs="Arial"/>
        </w:rPr>
      </w:pPr>
      <w:r w:rsidRPr="002C0ABA">
        <w:rPr>
          <w:rFonts w:ascii="Arial" w:hAnsi="Arial" w:cs="Arial"/>
        </w:rPr>
        <w:t>Waterloo/Cedar Falls</w:t>
      </w:r>
    </w:p>
    <w:p w:rsidR="00EF5794" w:rsidRPr="00EF5794" w:rsidRDefault="00EF5794" w:rsidP="00EF5794">
      <w:pPr>
        <w:spacing w:before="120"/>
        <w:jc w:val="both"/>
        <w:rPr>
          <w:rFonts w:ascii="Arial" w:hAnsi="Arial" w:cs="Arial"/>
          <w:sz w:val="22"/>
          <w:szCs w:val="22"/>
        </w:rPr>
      </w:pPr>
      <w:r w:rsidRPr="00EF5794">
        <w:rPr>
          <w:rFonts w:ascii="Arial" w:hAnsi="Arial" w:cs="Arial"/>
          <w:sz w:val="22"/>
          <w:szCs w:val="22"/>
        </w:rPr>
        <w:t xml:space="preserve">The Waterloo/Cedar Falls metropolitan statistical area’s total nonfarm employment gained 100 jobs from the previous month and stands at 94,100. Gains in trade, transportation and warehousing (+400) were largely offset by employment decreases in goods producing and professional and business services industries.  </w:t>
      </w:r>
    </w:p>
    <w:p w:rsidR="00110E10" w:rsidRPr="00BE38BF" w:rsidRDefault="00EF5794" w:rsidP="00EF5794">
      <w:pPr>
        <w:spacing w:before="120"/>
        <w:jc w:val="both"/>
        <w:rPr>
          <w:rFonts w:ascii="Arial" w:eastAsiaTheme="minorEastAsia" w:hAnsi="Arial" w:cs="Arial"/>
        </w:rPr>
      </w:pPr>
      <w:r w:rsidRPr="00EF5794">
        <w:rPr>
          <w:rFonts w:ascii="Arial" w:hAnsi="Arial" w:cs="Arial"/>
          <w:sz w:val="22"/>
          <w:szCs w:val="22"/>
        </w:rPr>
        <w:t>The over-the-year employment is unchanged with a mixture of gains and losses in various industries. Most notably, manufacturing pared 300 jobs, but goods producing sectors overall shed 600 jobs from one year ago.</w:t>
      </w:r>
    </w:p>
    <w:sectPr w:rsidR="00110E10" w:rsidRPr="00BE38BF"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61B8"/>
    <w:rsid w:val="003B6870"/>
    <w:rsid w:val="003C7F63"/>
    <w:rsid w:val="003D022D"/>
    <w:rsid w:val="003D2EA4"/>
    <w:rsid w:val="003D66C0"/>
    <w:rsid w:val="003E2281"/>
    <w:rsid w:val="003E4463"/>
    <w:rsid w:val="003F53E5"/>
    <w:rsid w:val="0040083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514EA"/>
    <w:rsid w:val="00757CDC"/>
    <w:rsid w:val="00757F3F"/>
    <w:rsid w:val="007600E4"/>
    <w:rsid w:val="00772789"/>
    <w:rsid w:val="007746A5"/>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1007E"/>
    <w:rsid w:val="008109C1"/>
    <w:rsid w:val="00817E45"/>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63E5"/>
    <w:rsid w:val="00A7522E"/>
    <w:rsid w:val="00A82826"/>
    <w:rsid w:val="00A84320"/>
    <w:rsid w:val="00A91D00"/>
    <w:rsid w:val="00A94917"/>
    <w:rsid w:val="00A97D4C"/>
    <w:rsid w:val="00AA024D"/>
    <w:rsid w:val="00AA0358"/>
    <w:rsid w:val="00AA4C3C"/>
    <w:rsid w:val="00AB5FF2"/>
    <w:rsid w:val="00AB72D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8D"/>
    <w:rsid w:val="00D5327B"/>
    <w:rsid w:val="00D53655"/>
    <w:rsid w:val="00D6448C"/>
    <w:rsid w:val="00D648F7"/>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6816"/>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73B52"/>
    <w:rsid w:val="00F81BEB"/>
    <w:rsid w:val="00F92C5F"/>
    <w:rsid w:val="00FA03F8"/>
    <w:rsid w:val="00FA197E"/>
    <w:rsid w:val="00FB3752"/>
    <w:rsid w:val="00FB3F47"/>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Schwartz, Dennis</cp:lastModifiedBy>
  <cp:revision>2</cp:revision>
  <cp:lastPrinted>2004-10-12T19:46:00Z</cp:lastPrinted>
  <dcterms:created xsi:type="dcterms:W3CDTF">2015-12-16T14:27:00Z</dcterms:created>
  <dcterms:modified xsi:type="dcterms:W3CDTF">2015-12-16T14:27:00Z</dcterms:modified>
</cp:coreProperties>
</file>