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bookmarkStart w:id="0" w:name="_GoBack"/>
      <w:bookmarkEnd w:id="0"/>
      <w:r w:rsidRPr="008655E5">
        <w:rPr>
          <w:rFonts w:ascii="Arial" w:hAnsi="Arial" w:cs="Arial"/>
          <w:b/>
        </w:rPr>
        <w:t>Ames</w:t>
      </w:r>
    </w:p>
    <w:p w:rsidR="00D47067" w:rsidRPr="00D47067" w:rsidRDefault="00D47067" w:rsidP="00D47067">
      <w:pPr>
        <w:spacing w:before="120"/>
        <w:jc w:val="both"/>
        <w:rPr>
          <w:rFonts w:ascii="Arial" w:eastAsia="Calibri" w:hAnsi="Arial" w:cs="Arial"/>
          <w:sz w:val="22"/>
          <w:szCs w:val="22"/>
        </w:rPr>
      </w:pPr>
      <w:r w:rsidRPr="00D47067">
        <w:rPr>
          <w:rFonts w:ascii="Arial" w:eastAsia="Calibri" w:hAnsi="Arial" w:cs="Arial"/>
          <w:sz w:val="22"/>
          <w:szCs w:val="22"/>
        </w:rPr>
        <w:t>The Ames metropolitan statistical area seasonally dropped 3,400 jobs in June, lowering employment to 50,100 jobs. This month is typically the low point for employment due to government education breaking for the summer. Expectedly, government shed the most jobs (-3,900) with all of that movement at the state level. Private services gained 300 jobs and goods producing industries added 200 jobs.</w:t>
      </w:r>
    </w:p>
    <w:p w:rsidR="008A307F" w:rsidRDefault="00D47067" w:rsidP="00D47067">
      <w:pPr>
        <w:spacing w:before="120"/>
        <w:jc w:val="both"/>
        <w:rPr>
          <w:rFonts w:ascii="Arial" w:hAnsi="Arial" w:cs="Arial"/>
          <w:b/>
        </w:rPr>
      </w:pPr>
      <w:r w:rsidRPr="00D47067">
        <w:rPr>
          <w:rFonts w:ascii="Arial" w:eastAsia="Calibri" w:hAnsi="Arial" w:cs="Arial"/>
          <w:sz w:val="22"/>
          <w:szCs w:val="22"/>
        </w:rPr>
        <w:t>Annually, private services are the only sector to show any movement (+1,100); both goods producing sectors and government are unchanged versus twelve months ago.</w:t>
      </w:r>
    </w:p>
    <w:p w:rsidR="00D47067" w:rsidRDefault="00D47067"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D47067" w:rsidRPr="00D47067" w:rsidRDefault="00D47067" w:rsidP="00D47067">
      <w:pPr>
        <w:spacing w:before="120"/>
        <w:jc w:val="both"/>
        <w:rPr>
          <w:rFonts w:ascii="Arial" w:hAnsi="Arial" w:cs="Arial"/>
          <w:sz w:val="22"/>
        </w:rPr>
      </w:pPr>
      <w:r w:rsidRPr="00D47067">
        <w:rPr>
          <w:rFonts w:ascii="Arial" w:hAnsi="Arial" w:cs="Arial"/>
          <w:sz w:val="22"/>
        </w:rPr>
        <w:t xml:space="preserve">The Cedar Rapids metropolitan statistical area added jobs for the fifth consecutive month, bringing total nonfarm employment to 147,300 jobs. Trade, transportation and warehousing and professional and business services led all sectors, each gaining 500 jobs. For the first time in more than six years, manufacturing experienced an over-the-month gain of 400 jobs. Gains in mining and construction matched that of </w:t>
      </w:r>
      <w:proofErr w:type="gramStart"/>
      <w:r w:rsidRPr="00D47067">
        <w:rPr>
          <w:rFonts w:ascii="Arial" w:hAnsi="Arial" w:cs="Arial"/>
          <w:sz w:val="22"/>
        </w:rPr>
        <w:t>manufacturing,</w:t>
      </w:r>
      <w:proofErr w:type="gramEnd"/>
      <w:r w:rsidRPr="00D47067">
        <w:rPr>
          <w:rFonts w:ascii="Arial" w:hAnsi="Arial" w:cs="Arial"/>
          <w:sz w:val="22"/>
        </w:rPr>
        <w:t xml:space="preserve"> however the frequency of occurrence of such increases is much greater in this industry. Education and health services pared 300 jobs and local government shed 100 jobs in expected seasonal shifts.</w:t>
      </w:r>
    </w:p>
    <w:p w:rsidR="008A307F" w:rsidRDefault="00D47067" w:rsidP="00D47067">
      <w:pPr>
        <w:spacing w:before="120"/>
        <w:jc w:val="both"/>
        <w:rPr>
          <w:rFonts w:ascii="Arial" w:hAnsi="Arial" w:cs="Arial"/>
          <w:sz w:val="22"/>
        </w:rPr>
      </w:pPr>
      <w:r w:rsidRPr="00D47067">
        <w:rPr>
          <w:rFonts w:ascii="Arial" w:hAnsi="Arial" w:cs="Arial"/>
          <w:sz w:val="22"/>
        </w:rPr>
        <w:t xml:space="preserve">Over the year the area added 1,700 jobs, led by professional and business services (+1,200) and natural resources and construction (+900). Local government is down 600 jobs from last year and information has pared 300 jobs.  </w:t>
      </w:r>
    </w:p>
    <w:p w:rsidR="00D47067" w:rsidRDefault="00D47067" w:rsidP="00D47067">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w:t>
      </w:r>
      <w:r w:rsidR="00D47067">
        <w:rPr>
          <w:rFonts w:ascii="Arial" w:hAnsi="Arial" w:cs="Arial"/>
          <w:b/>
        </w:rPr>
        <w:t>/West Des Moines</w:t>
      </w:r>
    </w:p>
    <w:p w:rsidR="00D47067" w:rsidRPr="00D47067" w:rsidRDefault="00D47067" w:rsidP="00D47067">
      <w:pPr>
        <w:pStyle w:val="Heading1"/>
        <w:spacing w:before="120"/>
        <w:jc w:val="both"/>
        <w:rPr>
          <w:rFonts w:ascii="Arial" w:eastAsia="Calibri" w:hAnsi="Arial" w:cs="Arial"/>
          <w:b w:val="0"/>
          <w:bCs w:val="0"/>
          <w:sz w:val="22"/>
          <w:szCs w:val="22"/>
        </w:rPr>
      </w:pPr>
      <w:bookmarkStart w:id="1" w:name="OLE_LINK1"/>
      <w:bookmarkStart w:id="2" w:name="OLE_LINK2"/>
      <w:r w:rsidRPr="00D47067">
        <w:rPr>
          <w:rFonts w:ascii="Arial" w:eastAsia="Calibri" w:hAnsi="Arial" w:cs="Arial"/>
          <w:b w:val="0"/>
          <w:bCs w:val="0"/>
          <w:sz w:val="22"/>
          <w:szCs w:val="22"/>
        </w:rPr>
        <w:t>Total nonfarm employment in the Des Moines Metropolitan Statistical Area gained 7,400 jobs in June, lifting the total to 15,500 jobs. This month’s gain is unusually large and due entirely to private sector job gains. Government shed jobs this month (-400) but remains up annually (+200). Service sectors advanced by 5,800 and goods producing industries gained 1,600 jobs. All private sectors advanced this month with the exception of information services which was unchanged since May.</w:t>
      </w:r>
    </w:p>
    <w:p w:rsidR="00D47067" w:rsidRPr="00D47067" w:rsidRDefault="00D47067" w:rsidP="00D47067">
      <w:pPr>
        <w:pStyle w:val="Heading1"/>
        <w:spacing w:before="120"/>
        <w:jc w:val="both"/>
        <w:rPr>
          <w:rFonts w:ascii="Arial" w:eastAsia="Calibri" w:hAnsi="Arial" w:cs="Arial"/>
          <w:b w:val="0"/>
          <w:bCs w:val="0"/>
          <w:sz w:val="22"/>
          <w:szCs w:val="22"/>
        </w:rPr>
      </w:pPr>
      <w:r w:rsidRPr="00D47067">
        <w:rPr>
          <w:rFonts w:ascii="Arial" w:eastAsia="Calibri" w:hAnsi="Arial" w:cs="Arial"/>
          <w:b w:val="0"/>
          <w:bCs w:val="0"/>
          <w:sz w:val="22"/>
          <w:szCs w:val="22"/>
        </w:rPr>
        <w:t xml:space="preserve">Leisure and hospitality added 2,300 jobs in June to lead all sectors. Arts and entertainment helped drive most of the growth this month. Both construction and professional and business services increased by 1,500 jobs and beat expectations for seasonal growth. Finance and insurance also bolstered staff this month (+1,200) and now rests up 1,800 jobs annually. Smaller gains this month included education and healthcare (+600) and trade and transportation (+500). </w:t>
      </w:r>
    </w:p>
    <w:p w:rsidR="00E20F21" w:rsidRDefault="00D47067" w:rsidP="00D47067">
      <w:pPr>
        <w:pStyle w:val="Heading1"/>
        <w:spacing w:before="120"/>
        <w:jc w:val="both"/>
        <w:rPr>
          <w:rFonts w:ascii="Arial" w:hAnsi="Arial" w:cs="Arial"/>
        </w:rPr>
      </w:pPr>
      <w:r w:rsidRPr="00D47067">
        <w:rPr>
          <w:rFonts w:ascii="Arial" w:eastAsia="Calibri" w:hAnsi="Arial" w:cs="Arial"/>
          <w:b w:val="0"/>
          <w:bCs w:val="0"/>
          <w:sz w:val="22"/>
          <w:szCs w:val="22"/>
        </w:rPr>
        <w:t>Over the past twelve months, the professional and business services sector has added the most jobs of any sector (+4,600). Administrative and support and waste management has fared well during that span (+2,600) although hiring in professional, scientific, and technical services has also expanded since last June (+1,800). Leisure and hospitality has added 3,900 jobs following an unusually prosperous spring. Construction has also been blooming in the metro area (+3,600) with 1,400 jobs being added in specialty trade contracting alone. Annually, losses have been sparse and limited to just information services (-300) and trade, transportation, and utilities (-100).</w:t>
      </w:r>
    </w:p>
    <w:p w:rsidR="008A307F" w:rsidRDefault="008A307F"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1"/>
    <w:bookmarkEnd w:id="2"/>
    <w:p w:rsidR="00D47067" w:rsidRPr="00D47067" w:rsidRDefault="00D47067" w:rsidP="00D47067">
      <w:pPr>
        <w:spacing w:before="120"/>
        <w:jc w:val="both"/>
        <w:rPr>
          <w:rFonts w:ascii="Arial" w:eastAsia="Calibri" w:hAnsi="Arial" w:cs="Arial"/>
          <w:sz w:val="22"/>
          <w:szCs w:val="22"/>
        </w:rPr>
      </w:pPr>
      <w:r w:rsidRPr="00D47067">
        <w:rPr>
          <w:rFonts w:ascii="Arial" w:eastAsia="Calibri" w:hAnsi="Arial" w:cs="Arial"/>
          <w:sz w:val="22"/>
          <w:szCs w:val="22"/>
        </w:rPr>
        <w:t>The Dubuque metro total nonfarm employment was unchanged in June and remained at 60,600 jobs. This total is 700 jobs higher than last June. Expected seasonal losses were light this year and helped inflate the annual growth values this month. There was some movement among sectors in June: goods producing industries gained 400 jobs, private services shed 300 jobs, and government pared 100 jobs.</w:t>
      </w:r>
    </w:p>
    <w:p w:rsidR="00E20F21" w:rsidRDefault="00D47067" w:rsidP="00D47067">
      <w:pPr>
        <w:spacing w:before="120"/>
        <w:jc w:val="both"/>
        <w:rPr>
          <w:rFonts w:ascii="Arial" w:hAnsi="Arial" w:cs="Arial"/>
          <w:b/>
        </w:rPr>
      </w:pPr>
      <w:r w:rsidRPr="00D47067">
        <w:rPr>
          <w:rFonts w:ascii="Arial" w:eastAsia="Calibri" w:hAnsi="Arial" w:cs="Arial"/>
          <w:sz w:val="22"/>
          <w:szCs w:val="22"/>
        </w:rPr>
        <w:t xml:space="preserve">Annually, </w:t>
      </w:r>
      <w:proofErr w:type="gramStart"/>
      <w:r w:rsidRPr="00D47067">
        <w:rPr>
          <w:rFonts w:ascii="Arial" w:eastAsia="Calibri" w:hAnsi="Arial" w:cs="Arial"/>
          <w:sz w:val="22"/>
          <w:szCs w:val="22"/>
        </w:rPr>
        <w:t>private services is</w:t>
      </w:r>
      <w:proofErr w:type="gramEnd"/>
      <w:r w:rsidRPr="00D47067">
        <w:rPr>
          <w:rFonts w:ascii="Arial" w:eastAsia="Calibri" w:hAnsi="Arial" w:cs="Arial"/>
          <w:sz w:val="22"/>
          <w:szCs w:val="22"/>
        </w:rPr>
        <w:t xml:space="preserve"> up 600 jobs despite small losses in trade and transportation industries. Goods producing industries have added 300 jobs since last June. Government trails last year’s mark by 200 jobs due to a drop in local government.</w:t>
      </w:r>
      <w:r w:rsidR="006C291D">
        <w:rPr>
          <w:rFonts w:ascii="Arial" w:hAnsi="Arial" w:cs="Arial"/>
          <w:b/>
        </w:rPr>
        <w:tab/>
      </w:r>
    </w:p>
    <w:p w:rsidR="00D47067" w:rsidRDefault="00D47067"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D47067" w:rsidRPr="00D47067" w:rsidRDefault="00D47067" w:rsidP="00D47067">
      <w:pPr>
        <w:spacing w:before="120"/>
        <w:jc w:val="both"/>
        <w:rPr>
          <w:rFonts w:ascii="Arial" w:eastAsia="Calibri" w:hAnsi="Arial" w:cs="Arial"/>
          <w:sz w:val="22"/>
          <w:szCs w:val="22"/>
        </w:rPr>
      </w:pPr>
      <w:r w:rsidRPr="00D47067">
        <w:rPr>
          <w:rFonts w:ascii="Arial" w:eastAsia="Calibri" w:hAnsi="Arial" w:cs="Arial"/>
          <w:sz w:val="22"/>
          <w:szCs w:val="22"/>
        </w:rPr>
        <w:t xml:space="preserve">Nonfarm employment in the Iowa City metropolitan statistical area dropped 200 jobs from last month due to a seasonal decline in state government employment (-1,100). Several industries added jobs, partially offsetting </w:t>
      </w:r>
      <w:r w:rsidRPr="00D47067">
        <w:rPr>
          <w:rFonts w:ascii="Arial" w:eastAsia="Calibri" w:hAnsi="Arial" w:cs="Arial"/>
          <w:sz w:val="22"/>
          <w:szCs w:val="22"/>
        </w:rPr>
        <w:lastRenderedPageBreak/>
        <w:t xml:space="preserve">the loss in state government. The larger of those gains include 500 additional jobs in local government, 500 additional jobs in goods producing industries and 100 jobs in professional and business services. </w:t>
      </w:r>
    </w:p>
    <w:p w:rsidR="008A307F" w:rsidRDefault="00D47067" w:rsidP="00D47067">
      <w:pPr>
        <w:spacing w:before="120"/>
        <w:jc w:val="both"/>
        <w:rPr>
          <w:rFonts w:ascii="Arial" w:eastAsia="Calibri" w:hAnsi="Arial" w:cs="Arial"/>
          <w:sz w:val="22"/>
          <w:szCs w:val="22"/>
        </w:rPr>
      </w:pPr>
      <w:r w:rsidRPr="00D47067">
        <w:rPr>
          <w:rFonts w:ascii="Arial" w:eastAsia="Calibri" w:hAnsi="Arial" w:cs="Arial"/>
          <w:sz w:val="22"/>
          <w:szCs w:val="22"/>
        </w:rPr>
        <w:t>The metro area has added 3,700 jobs from one year ago, boosted by gains of 2,000 in government and 1,700 in private service-providing sectors. Professional and business services added 600 jobs and trade, transportation and warehousing added 400 jobs. Goods producing industries also added 400 jobs.</w:t>
      </w:r>
    </w:p>
    <w:p w:rsidR="00D47067" w:rsidRDefault="00D47067" w:rsidP="00D47067">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7067" w:rsidRPr="00D47067" w:rsidRDefault="00D47067" w:rsidP="00D47067">
      <w:pPr>
        <w:spacing w:before="120" w:line="276" w:lineRule="auto"/>
        <w:jc w:val="both"/>
        <w:rPr>
          <w:rFonts w:ascii="Arial" w:hAnsi="Arial" w:cs="Arial"/>
          <w:sz w:val="22"/>
          <w:szCs w:val="22"/>
        </w:rPr>
      </w:pPr>
      <w:r w:rsidRPr="00D47067">
        <w:rPr>
          <w:rFonts w:ascii="Arial" w:hAnsi="Arial" w:cs="Arial"/>
          <w:sz w:val="22"/>
          <w:szCs w:val="22"/>
        </w:rPr>
        <w:t xml:space="preserve">Employment in the Sioux City MSA is up 500 jobs from May. Gains were distributed through many industries, including; 400 additional jobs in trade, transportation and warehousing, 200 jobs in leisure and hospitality and 100 additional jobs both government and manufacturing. The only industry with a jobs loss was professional and business services which slipped by 100 jobs. </w:t>
      </w:r>
    </w:p>
    <w:p w:rsidR="00D47067" w:rsidRPr="00D47067" w:rsidRDefault="00D47067" w:rsidP="00D47067">
      <w:pPr>
        <w:spacing w:before="120" w:line="276" w:lineRule="auto"/>
        <w:jc w:val="both"/>
        <w:rPr>
          <w:rFonts w:ascii="Calibri" w:eastAsia="Calibri" w:hAnsi="Calibri"/>
          <w:sz w:val="22"/>
          <w:szCs w:val="22"/>
        </w:rPr>
      </w:pPr>
      <w:r w:rsidRPr="00D47067">
        <w:rPr>
          <w:rFonts w:ascii="Arial" w:hAnsi="Arial" w:cs="Arial"/>
          <w:sz w:val="22"/>
          <w:szCs w:val="22"/>
        </w:rPr>
        <w:t>Overall, area employment is unchanged from one year ago. A gain of 900 in trade, transportation and warehousing was followed by 400 additional jobs in manufacturing, and 100 jobs in professional and business services. Leisure and hospitality has pared 200 jobs from one year ago. Government has shed 100 jobs.</w:t>
      </w:r>
    </w:p>
    <w:p w:rsidR="008A307F" w:rsidRDefault="008A307F"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D47067" w:rsidRPr="00D47067" w:rsidRDefault="00D47067" w:rsidP="00D47067">
      <w:pPr>
        <w:spacing w:before="120"/>
        <w:jc w:val="both"/>
        <w:rPr>
          <w:rFonts w:ascii="Arial" w:hAnsi="Arial" w:cs="Arial"/>
          <w:sz w:val="22"/>
          <w:szCs w:val="22"/>
        </w:rPr>
      </w:pPr>
      <w:r w:rsidRPr="00D47067">
        <w:rPr>
          <w:rFonts w:ascii="Arial" w:hAnsi="Arial" w:cs="Arial"/>
          <w:sz w:val="22"/>
          <w:szCs w:val="22"/>
        </w:rPr>
        <w:t xml:space="preserve">The Waterloo/Cedar Falls metropolitan statistical area’s total nonfarm employment dropped 1,700 jobs from the previous month and stands at 89,900. The over-the-month change is seasonal in nature and slightly above the 10-year average May-to-June change.  </w:t>
      </w:r>
    </w:p>
    <w:p w:rsidR="00D47067" w:rsidRPr="00D47067" w:rsidRDefault="00D47067" w:rsidP="00D47067">
      <w:pPr>
        <w:spacing w:before="120"/>
        <w:jc w:val="both"/>
        <w:rPr>
          <w:rFonts w:ascii="Arial" w:hAnsi="Arial" w:cs="Arial"/>
          <w:sz w:val="22"/>
          <w:szCs w:val="22"/>
        </w:rPr>
      </w:pPr>
      <w:r w:rsidRPr="00D47067">
        <w:rPr>
          <w:rFonts w:ascii="Arial" w:hAnsi="Arial" w:cs="Arial"/>
          <w:sz w:val="22"/>
          <w:szCs w:val="22"/>
        </w:rPr>
        <w:t xml:space="preserve">Employment levels changed in every sector except manufacturing. Government pared 2,200 jobs, mostly at the state government level (-2,000). Trade, transportation and warehousing shed 500 jobs and education and health services trimmed 200 jobs. Gains of 300 in leisure and hospitality and 100 in each financial </w:t>
      </w:r>
      <w:proofErr w:type="gramStart"/>
      <w:r w:rsidRPr="00D47067">
        <w:rPr>
          <w:rFonts w:ascii="Arial" w:hAnsi="Arial" w:cs="Arial"/>
          <w:sz w:val="22"/>
          <w:szCs w:val="22"/>
        </w:rPr>
        <w:t>activities</w:t>
      </w:r>
      <w:proofErr w:type="gramEnd"/>
      <w:r w:rsidRPr="00D47067">
        <w:rPr>
          <w:rFonts w:ascii="Arial" w:hAnsi="Arial" w:cs="Arial"/>
          <w:sz w:val="22"/>
          <w:szCs w:val="22"/>
        </w:rPr>
        <w:t xml:space="preserve"> and professional and business services helped alleviate a portion of the jobs losses. </w:t>
      </w:r>
    </w:p>
    <w:p w:rsidR="00110E10" w:rsidRPr="00820592" w:rsidRDefault="00D47067" w:rsidP="00D47067">
      <w:pPr>
        <w:spacing w:before="120"/>
        <w:jc w:val="both"/>
        <w:rPr>
          <w:rFonts w:ascii="Arial" w:eastAsia="Calibri" w:hAnsi="Arial" w:cs="Arial"/>
          <w:sz w:val="22"/>
          <w:szCs w:val="22"/>
        </w:rPr>
      </w:pPr>
      <w:r w:rsidRPr="00D47067">
        <w:rPr>
          <w:rFonts w:ascii="Arial" w:hAnsi="Arial" w:cs="Arial"/>
          <w:sz w:val="22"/>
          <w:szCs w:val="22"/>
        </w:rPr>
        <w:t xml:space="preserve">Over the year, employment is down 300 jobs. Manufacturing has pared 300 jobs with a loss of 500 jobs in durable goods manufacturing being partially offset by a gain of 200 in non-durable goods. Trade, transportation and warehousing </w:t>
      </w:r>
      <w:proofErr w:type="gramStart"/>
      <w:r w:rsidRPr="00D47067">
        <w:rPr>
          <w:rFonts w:ascii="Arial" w:hAnsi="Arial" w:cs="Arial"/>
          <w:sz w:val="22"/>
          <w:szCs w:val="22"/>
        </w:rPr>
        <w:t>has</w:t>
      </w:r>
      <w:proofErr w:type="gramEnd"/>
      <w:r w:rsidRPr="00D47067">
        <w:rPr>
          <w:rFonts w:ascii="Arial" w:hAnsi="Arial" w:cs="Arial"/>
          <w:sz w:val="22"/>
          <w:szCs w:val="22"/>
        </w:rPr>
        <w:t xml:space="preserve"> pared 100 jobs, although retail trade has shed 500 jobs. Professional and business services and education and health services each added 200 jobs.</w:t>
      </w: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477A"/>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521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2826"/>
    <w:rsid w:val="00A84320"/>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BF750C"/>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93C7A"/>
    <w:rsid w:val="00E973E9"/>
    <w:rsid w:val="00EA4D37"/>
    <w:rsid w:val="00EB3FCC"/>
    <w:rsid w:val="00EB6201"/>
    <w:rsid w:val="00EC2C03"/>
    <w:rsid w:val="00EC3117"/>
    <w:rsid w:val="00ED254D"/>
    <w:rsid w:val="00ED3BEB"/>
    <w:rsid w:val="00ED54C5"/>
    <w:rsid w:val="00ED6BF3"/>
    <w:rsid w:val="00EE02C9"/>
    <w:rsid w:val="00EE18D9"/>
    <w:rsid w:val="00EE4F96"/>
    <w:rsid w:val="00EE6816"/>
    <w:rsid w:val="00EF0B5A"/>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Services, VMware</cp:lastModifiedBy>
  <cp:revision>2</cp:revision>
  <cp:lastPrinted>2004-10-12T19:46:00Z</cp:lastPrinted>
  <dcterms:created xsi:type="dcterms:W3CDTF">2017-07-20T12:42:00Z</dcterms:created>
  <dcterms:modified xsi:type="dcterms:W3CDTF">2017-07-20T12:42:00Z</dcterms:modified>
</cp:coreProperties>
</file>