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bookmarkStart w:id="0" w:name="_GoBack"/>
      <w:bookmarkEnd w:id="0"/>
      <w:r w:rsidRPr="008655E5">
        <w:rPr>
          <w:rFonts w:ascii="Arial" w:hAnsi="Arial" w:cs="Arial"/>
          <w:b/>
        </w:rPr>
        <w:t>Ames</w:t>
      </w:r>
    </w:p>
    <w:p w:rsidR="00C51F23" w:rsidRPr="00C51F23" w:rsidRDefault="00C51F23" w:rsidP="00C51F23">
      <w:pPr>
        <w:spacing w:before="120"/>
        <w:jc w:val="both"/>
        <w:rPr>
          <w:rFonts w:ascii="Arial" w:eastAsia="Calibri" w:hAnsi="Arial" w:cs="Arial"/>
          <w:sz w:val="22"/>
          <w:szCs w:val="22"/>
        </w:rPr>
      </w:pPr>
      <w:r w:rsidRPr="00C51F23">
        <w:rPr>
          <w:rFonts w:ascii="Arial" w:eastAsia="Calibri" w:hAnsi="Arial" w:cs="Arial"/>
          <w:sz w:val="22"/>
          <w:szCs w:val="22"/>
        </w:rPr>
        <w:t>The Ames metropolitan statistical area added 1,900 jobs in August and now rests at 51,400 jobs. Government was responsible for all of the jobs gains this month (+2,000) and was primarily due to state government education seasonally increasing. Private services pared 100 jobs and goods-producing industries were unchanged since July.</w:t>
      </w:r>
    </w:p>
    <w:p w:rsidR="00D47067" w:rsidRDefault="00C51F23" w:rsidP="00C51F23">
      <w:pPr>
        <w:spacing w:before="120"/>
        <w:jc w:val="both"/>
        <w:rPr>
          <w:rFonts w:ascii="Arial" w:hAnsi="Arial" w:cs="Arial"/>
          <w:b/>
        </w:rPr>
      </w:pPr>
      <w:r w:rsidRPr="00C51F23">
        <w:rPr>
          <w:rFonts w:ascii="Arial" w:eastAsia="Calibri" w:hAnsi="Arial" w:cs="Arial"/>
          <w:sz w:val="22"/>
          <w:szCs w:val="22"/>
        </w:rPr>
        <w:t>Since last August, 1,800 jobs have been added in Ames. Private services have added 1,000 jobs and government is up 700 jobs. Goods-producing industries have increased slightly (+100).</w:t>
      </w:r>
    </w:p>
    <w:p w:rsidR="00C51F23" w:rsidRDefault="00C51F23"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C51F23" w:rsidRPr="00C51F23" w:rsidRDefault="00C51F23" w:rsidP="00C51F23">
      <w:pPr>
        <w:spacing w:before="120"/>
        <w:jc w:val="both"/>
        <w:rPr>
          <w:rFonts w:ascii="Arial" w:hAnsi="Arial" w:cs="Arial"/>
          <w:sz w:val="22"/>
        </w:rPr>
      </w:pPr>
      <w:r w:rsidRPr="00C51F23">
        <w:rPr>
          <w:rFonts w:ascii="Arial" w:hAnsi="Arial" w:cs="Arial"/>
          <w:sz w:val="22"/>
        </w:rPr>
        <w:t xml:space="preserve">Employment in the Cedar Rapids metropolitan statistical area experienced a partial rebound following a July decrease, adding 600 jobs. Total nonfarm employment is 144,400. </w:t>
      </w:r>
    </w:p>
    <w:p w:rsidR="00C51F23" w:rsidRPr="00C51F23" w:rsidRDefault="00C51F23" w:rsidP="00C51F23">
      <w:pPr>
        <w:spacing w:before="120"/>
        <w:jc w:val="both"/>
        <w:rPr>
          <w:rFonts w:ascii="Arial" w:hAnsi="Arial" w:cs="Arial"/>
          <w:sz w:val="22"/>
        </w:rPr>
      </w:pPr>
      <w:r w:rsidRPr="00C51F23">
        <w:rPr>
          <w:rFonts w:ascii="Arial" w:hAnsi="Arial" w:cs="Arial"/>
          <w:sz w:val="22"/>
        </w:rPr>
        <w:t xml:space="preserve">Local government was responsible for the majority of the gain with 900 more jobs. Trade, transportation and warehousing added 100 jobs. Leisure and hospitality shed 200 jobs with an expected seasonal reduction. Manufacturing pared 100 jobs, putting an end to four consecutive months of gains. Professional and business services also pared 100 jobs. </w:t>
      </w:r>
    </w:p>
    <w:p w:rsidR="00D47067" w:rsidRDefault="00C51F23" w:rsidP="00C51F23">
      <w:pPr>
        <w:spacing w:before="120"/>
        <w:jc w:val="both"/>
        <w:rPr>
          <w:rFonts w:ascii="Arial" w:hAnsi="Arial" w:cs="Arial"/>
          <w:b/>
        </w:rPr>
      </w:pPr>
      <w:r w:rsidRPr="00C51F23">
        <w:rPr>
          <w:rFonts w:ascii="Arial" w:hAnsi="Arial" w:cs="Arial"/>
          <w:sz w:val="22"/>
        </w:rPr>
        <w:t>Over the year the area added 1,100 jobs with the largest gain in professional and business services (+600). Manufacturing and trade, transportation and warehousing employment have each gained 200 jobs from one year ago. Employment in the information sector has held steady for three consecutive months, but has trimmed 200 jobs from one year ago.</w:t>
      </w:r>
    </w:p>
    <w:p w:rsidR="00C51F23" w:rsidRDefault="00C51F23"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w:t>
      </w:r>
      <w:r w:rsidR="00D47067">
        <w:rPr>
          <w:rFonts w:ascii="Arial" w:hAnsi="Arial" w:cs="Arial"/>
          <w:b/>
        </w:rPr>
        <w:t>/West Des Moines</w:t>
      </w:r>
    </w:p>
    <w:p w:rsidR="00C51F23" w:rsidRPr="00C51F23" w:rsidRDefault="00C51F23" w:rsidP="00C51F23">
      <w:pPr>
        <w:pStyle w:val="Heading1"/>
        <w:spacing w:before="120"/>
        <w:jc w:val="both"/>
        <w:rPr>
          <w:rFonts w:ascii="Arial" w:eastAsia="Calibri" w:hAnsi="Arial" w:cs="Arial"/>
          <w:b w:val="0"/>
          <w:bCs w:val="0"/>
          <w:sz w:val="22"/>
          <w:szCs w:val="22"/>
        </w:rPr>
      </w:pPr>
      <w:bookmarkStart w:id="1" w:name="OLE_LINK1"/>
      <w:bookmarkStart w:id="2" w:name="OLE_LINK2"/>
      <w:r w:rsidRPr="00C51F23">
        <w:rPr>
          <w:rFonts w:ascii="Arial" w:eastAsia="Calibri" w:hAnsi="Arial" w:cs="Arial"/>
          <w:b w:val="0"/>
          <w:bCs w:val="0"/>
          <w:sz w:val="22"/>
          <w:szCs w:val="22"/>
        </w:rPr>
        <w:t>The Des Moines Metro area shed 300 jobs in August, lowering total nonfarm employment down to 372,300 jobs. Historically, August typically has some jobs added; however, this decline follows an unusually small seasonal drop last month and coupled with a historically large gain in June, so it could be a sign of shifting seasonal patterns this year. The Des Moines Metro area remains up 11,300 jobs annually (+3.1 percent), thus the monthly decline is not much cause for concern.</w:t>
      </w:r>
    </w:p>
    <w:p w:rsidR="00C51F23" w:rsidRPr="00C51F23" w:rsidRDefault="00C51F23" w:rsidP="00C51F23">
      <w:pPr>
        <w:pStyle w:val="Heading1"/>
        <w:spacing w:before="120"/>
        <w:jc w:val="both"/>
        <w:rPr>
          <w:rFonts w:ascii="Arial" w:eastAsia="Calibri" w:hAnsi="Arial" w:cs="Arial"/>
          <w:b w:val="0"/>
          <w:bCs w:val="0"/>
          <w:sz w:val="22"/>
          <w:szCs w:val="22"/>
        </w:rPr>
      </w:pPr>
      <w:r w:rsidRPr="00C51F23">
        <w:rPr>
          <w:rFonts w:ascii="Arial" w:eastAsia="Calibri" w:hAnsi="Arial" w:cs="Arial"/>
          <w:b w:val="0"/>
          <w:bCs w:val="0"/>
          <w:sz w:val="22"/>
          <w:szCs w:val="22"/>
        </w:rPr>
        <w:t>The largest monthly gain occurred in education and health services (+800). The majority of these gains were in health care and social assistance (+500). Professional and business services also bolstered payrolls this month (+600), as did government (+600). Trade and transportation saw some improvement in retail and added 500 jobs. Leisure and hospitality experienced a large loss this month (-1,600) due to early seasonal losses in recreational activities. Smaller losses were in construction (-500) and information services (-100).</w:t>
      </w:r>
    </w:p>
    <w:p w:rsidR="008A307F" w:rsidRDefault="00C51F23" w:rsidP="00C51F23">
      <w:pPr>
        <w:pStyle w:val="Heading1"/>
        <w:spacing w:before="120"/>
        <w:jc w:val="both"/>
        <w:rPr>
          <w:rFonts w:ascii="Arial" w:hAnsi="Arial" w:cs="Arial"/>
        </w:rPr>
      </w:pPr>
      <w:r w:rsidRPr="00C51F23">
        <w:rPr>
          <w:rFonts w:ascii="Arial" w:eastAsia="Calibri" w:hAnsi="Arial" w:cs="Arial"/>
          <w:b w:val="0"/>
          <w:bCs w:val="0"/>
          <w:sz w:val="22"/>
          <w:szCs w:val="22"/>
        </w:rPr>
        <w:t>Since last year, professional and business services have added the most jobs (+3,800) with most of the growth being in administrative support and waste management (+2,300). Leisure and hospitality industries have also been prosperous over the past twelve months even with this month’s loss and are up 2,900 jobs versus last year. The only sector to pare jobs annually is information (-400).</w:t>
      </w:r>
    </w:p>
    <w:p w:rsidR="00C51F23" w:rsidRDefault="00C51F23"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1"/>
    <w:bookmarkEnd w:id="2"/>
    <w:p w:rsidR="00C51F23" w:rsidRPr="00C51F23" w:rsidRDefault="00C51F23" w:rsidP="00C51F23">
      <w:pPr>
        <w:spacing w:before="120"/>
        <w:jc w:val="both"/>
        <w:rPr>
          <w:rFonts w:ascii="Arial" w:eastAsia="Calibri" w:hAnsi="Arial" w:cs="Arial"/>
          <w:sz w:val="22"/>
          <w:szCs w:val="22"/>
        </w:rPr>
      </w:pPr>
      <w:r w:rsidRPr="00C51F23">
        <w:rPr>
          <w:rFonts w:ascii="Arial" w:eastAsia="Calibri" w:hAnsi="Arial" w:cs="Arial"/>
          <w:sz w:val="22"/>
          <w:szCs w:val="22"/>
        </w:rPr>
        <w:t>Total nonfarm employment in Dubuque dropped 100 jobs in August and now stands at 58,800 jobs. August typically doesn’t see much movement in jobs, so this month’s change is not surprising. The Dubuque area remains up 200 jobs versus one year ago.</w:t>
      </w:r>
    </w:p>
    <w:p w:rsidR="00E20F21" w:rsidRDefault="00C51F23" w:rsidP="00C51F23">
      <w:pPr>
        <w:spacing w:before="120"/>
        <w:jc w:val="both"/>
        <w:rPr>
          <w:rFonts w:ascii="Arial" w:hAnsi="Arial" w:cs="Arial"/>
          <w:b/>
        </w:rPr>
      </w:pPr>
      <w:r w:rsidRPr="00C51F23">
        <w:rPr>
          <w:rFonts w:ascii="Arial" w:eastAsia="Calibri" w:hAnsi="Arial" w:cs="Arial"/>
          <w:sz w:val="22"/>
          <w:szCs w:val="22"/>
        </w:rPr>
        <w:t>Government added 300 jobs at the local level yet still trails last year’s mark by 300 jobs. Both private services and goods-producing sectors shed employment this month (by 300 and 100 jobs, respectively); however, they remain up a combined 500 jobs versus last August.</w:t>
      </w:r>
      <w:r w:rsidR="006C291D">
        <w:rPr>
          <w:rFonts w:ascii="Arial" w:hAnsi="Arial" w:cs="Arial"/>
          <w:b/>
        </w:rPr>
        <w:tab/>
      </w:r>
    </w:p>
    <w:p w:rsidR="00D47067" w:rsidRDefault="00D47067"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C51F23" w:rsidRPr="00C51F23" w:rsidRDefault="00C51F23" w:rsidP="00C51F23">
      <w:pPr>
        <w:spacing w:before="120"/>
        <w:jc w:val="both"/>
        <w:rPr>
          <w:rFonts w:ascii="Arial" w:eastAsia="Calibri" w:hAnsi="Arial" w:cs="Arial"/>
          <w:sz w:val="22"/>
          <w:szCs w:val="22"/>
        </w:rPr>
      </w:pPr>
      <w:r w:rsidRPr="00C51F23">
        <w:rPr>
          <w:rFonts w:ascii="Arial" w:eastAsia="Calibri" w:hAnsi="Arial" w:cs="Arial"/>
          <w:sz w:val="22"/>
          <w:szCs w:val="22"/>
        </w:rPr>
        <w:t xml:space="preserve">Nonfarm employment in the Iowa City metropolitan statistical area added 2,000 jobs from last month mostly due to a seasonal gain in state government employment (+1,800). Trade, transportation and warehousing added 400 jobs after two months of decline and leisure and hospitality and professional and business services each added 100 jobs. There are no sectors with a jobs decrease for the month. </w:t>
      </w:r>
    </w:p>
    <w:p w:rsidR="00D47067" w:rsidRDefault="00C51F23" w:rsidP="00C51F23">
      <w:pPr>
        <w:spacing w:before="120"/>
        <w:jc w:val="both"/>
        <w:rPr>
          <w:rFonts w:ascii="Arial" w:eastAsia="Calibri" w:hAnsi="Arial" w:cs="Arial"/>
          <w:sz w:val="22"/>
          <w:szCs w:val="22"/>
        </w:rPr>
      </w:pPr>
      <w:r w:rsidRPr="00C51F23">
        <w:rPr>
          <w:rFonts w:ascii="Arial" w:eastAsia="Calibri" w:hAnsi="Arial" w:cs="Arial"/>
          <w:sz w:val="22"/>
          <w:szCs w:val="22"/>
        </w:rPr>
        <w:lastRenderedPageBreak/>
        <w:t>The metro area has added 2,700 jobs from one year ago, boosted by gains of 1,600 in government and 1,100 in private service-providing sectors. Professional and business services added 300 jobs and leisure and hospitality gained 200 jobs. Trade, transportation and warehousing pared 300 jobs and goods producing industries are unchanged.</w:t>
      </w:r>
    </w:p>
    <w:p w:rsidR="00C51F23" w:rsidRDefault="00C51F23" w:rsidP="00C51F23">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C51F23" w:rsidRPr="00C51F23" w:rsidRDefault="00C51F23" w:rsidP="00C51F23">
      <w:pPr>
        <w:pStyle w:val="Heading1"/>
        <w:spacing w:before="120"/>
        <w:jc w:val="both"/>
        <w:rPr>
          <w:rFonts w:ascii="Arial" w:hAnsi="Arial" w:cs="Arial"/>
          <w:b w:val="0"/>
          <w:bCs w:val="0"/>
          <w:sz w:val="22"/>
          <w:szCs w:val="22"/>
        </w:rPr>
      </w:pPr>
      <w:r w:rsidRPr="00C51F23">
        <w:rPr>
          <w:rFonts w:ascii="Arial" w:hAnsi="Arial" w:cs="Arial"/>
          <w:b w:val="0"/>
          <w:bCs w:val="0"/>
          <w:sz w:val="22"/>
          <w:szCs w:val="22"/>
        </w:rPr>
        <w:t>Employment in the Sioux City MSA is down 300 jobs from July. Contributing to the loss were losses in trade, transportation and warehousing (-100) and government (-100). Professional and business services is the only sector with a jobs gain, adding 100 jobs from last month. The sector has not fluctuated more than 300 jobs in the past year.</w:t>
      </w:r>
    </w:p>
    <w:p w:rsidR="008A307F" w:rsidRDefault="00C51F23" w:rsidP="00C51F23">
      <w:pPr>
        <w:pStyle w:val="Heading1"/>
        <w:spacing w:before="120"/>
        <w:jc w:val="both"/>
        <w:rPr>
          <w:rFonts w:ascii="Arial" w:hAnsi="Arial" w:cs="Arial"/>
          <w:b w:val="0"/>
          <w:bCs w:val="0"/>
          <w:sz w:val="22"/>
          <w:szCs w:val="22"/>
        </w:rPr>
      </w:pPr>
      <w:r w:rsidRPr="00C51F23">
        <w:rPr>
          <w:rFonts w:ascii="Arial" w:hAnsi="Arial" w:cs="Arial"/>
          <w:b w:val="0"/>
          <w:bCs w:val="0"/>
          <w:sz w:val="22"/>
          <w:szCs w:val="22"/>
        </w:rPr>
        <w:t>Overall, area employment is 300 below one year ago. Goods producing industries are responsible for the bulk of the loss having pared 300 jobs even after a gain of 300 in manufacturing. Trade, transportation and warehousing has added 500 jobs and professional and business services shed 100 jobs. Government employment is unchanged.</w:t>
      </w:r>
    </w:p>
    <w:p w:rsidR="00C51F23" w:rsidRPr="00C51F23" w:rsidRDefault="00C51F23" w:rsidP="00C51F23"/>
    <w:p w:rsidR="00AE4E39" w:rsidRDefault="00AE4E39" w:rsidP="00AC3F6D">
      <w:pPr>
        <w:pStyle w:val="Heading1"/>
        <w:rPr>
          <w:rFonts w:ascii="Arial" w:hAnsi="Arial" w:cs="Arial"/>
        </w:rPr>
      </w:pPr>
      <w:r w:rsidRPr="002C0ABA">
        <w:rPr>
          <w:rFonts w:ascii="Arial" w:hAnsi="Arial" w:cs="Arial"/>
        </w:rPr>
        <w:t>Waterloo/Cedar Falls</w:t>
      </w:r>
    </w:p>
    <w:p w:rsidR="00C51F23" w:rsidRPr="00C51F23" w:rsidRDefault="00C51F23" w:rsidP="00C51F23">
      <w:pPr>
        <w:spacing w:before="120"/>
        <w:jc w:val="both"/>
        <w:rPr>
          <w:rFonts w:ascii="Arial" w:hAnsi="Arial" w:cs="Arial"/>
          <w:sz w:val="22"/>
          <w:szCs w:val="22"/>
        </w:rPr>
      </w:pPr>
      <w:r w:rsidRPr="00C51F23">
        <w:rPr>
          <w:rFonts w:ascii="Arial" w:hAnsi="Arial" w:cs="Arial"/>
          <w:sz w:val="22"/>
          <w:szCs w:val="22"/>
        </w:rPr>
        <w:t xml:space="preserve">The Waterloo/Cedar Falls metropolitan statistical area’s total nonfarm employment increased 200 jobs from the previous month and stands at 89,000. State government experienced a seasonal gain of 400 jobs while leisure and hospitality pared 100 jobs with an adjustment that is also seasonal in nature. Trade, transportation and warehousing also boosted employment with 300 additional jobs.   </w:t>
      </w:r>
    </w:p>
    <w:p w:rsidR="00110E10" w:rsidRPr="00820592" w:rsidRDefault="00C51F23" w:rsidP="00C51F23">
      <w:pPr>
        <w:spacing w:before="120"/>
        <w:jc w:val="both"/>
        <w:rPr>
          <w:rFonts w:ascii="Arial" w:eastAsia="Calibri" w:hAnsi="Arial" w:cs="Arial"/>
          <w:sz w:val="22"/>
          <w:szCs w:val="22"/>
        </w:rPr>
      </w:pPr>
      <w:r w:rsidRPr="00C51F23">
        <w:rPr>
          <w:rFonts w:ascii="Arial" w:hAnsi="Arial" w:cs="Arial"/>
          <w:sz w:val="22"/>
          <w:szCs w:val="22"/>
        </w:rPr>
        <w:t>Over the year, employment is down 300 jobs. The loss is split among goods producing and service providing sectors. Manufacturing has pared 100 jobs and represents the entire loss in goods producing. Manufacturing has not had a jobs decrease since March of this year.</w:t>
      </w: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521F"/>
    <w:rsid w:val="0085144F"/>
    <w:rsid w:val="00853077"/>
    <w:rsid w:val="00853E1A"/>
    <w:rsid w:val="00860446"/>
    <w:rsid w:val="00861F22"/>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2826"/>
    <w:rsid w:val="00A84320"/>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D2D3B"/>
    <w:rsid w:val="00BE38BF"/>
    <w:rsid w:val="00BE3A93"/>
    <w:rsid w:val="00BE558C"/>
    <w:rsid w:val="00BF44DE"/>
    <w:rsid w:val="00BF750C"/>
    <w:rsid w:val="00C00A3B"/>
    <w:rsid w:val="00C00CF2"/>
    <w:rsid w:val="00C20DAA"/>
    <w:rsid w:val="00C225B8"/>
    <w:rsid w:val="00C310E3"/>
    <w:rsid w:val="00C31D3B"/>
    <w:rsid w:val="00C321E4"/>
    <w:rsid w:val="00C353BC"/>
    <w:rsid w:val="00C365AD"/>
    <w:rsid w:val="00C428A3"/>
    <w:rsid w:val="00C43543"/>
    <w:rsid w:val="00C476EF"/>
    <w:rsid w:val="00C51F23"/>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93C7A"/>
    <w:rsid w:val="00E973E9"/>
    <w:rsid w:val="00EA4D37"/>
    <w:rsid w:val="00EB3FCC"/>
    <w:rsid w:val="00EB6201"/>
    <w:rsid w:val="00EC2C03"/>
    <w:rsid w:val="00EC3117"/>
    <w:rsid w:val="00ED254D"/>
    <w:rsid w:val="00ED3BEB"/>
    <w:rsid w:val="00ED54C5"/>
    <w:rsid w:val="00ED6BF3"/>
    <w:rsid w:val="00EE02C9"/>
    <w:rsid w:val="00EE18D9"/>
    <w:rsid w:val="00EE4F96"/>
    <w:rsid w:val="00EE6816"/>
    <w:rsid w:val="00EF0B5A"/>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KHenze</cp:lastModifiedBy>
  <cp:revision>2</cp:revision>
  <cp:lastPrinted>2004-10-12T19:46:00Z</cp:lastPrinted>
  <dcterms:created xsi:type="dcterms:W3CDTF">2017-09-13T15:45:00Z</dcterms:created>
  <dcterms:modified xsi:type="dcterms:W3CDTF">2017-09-13T15:45:00Z</dcterms:modified>
</cp:coreProperties>
</file>