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4FCF">
      <w:pPr>
        <w:jc w:val="center"/>
        <w:rPr>
          <w:rFonts w:ascii="Arial" w:hAnsi="Arial"/>
          <w:b/>
          <w:sz w:val="28"/>
        </w:rPr>
      </w:pPr>
      <w:r>
        <w:rPr>
          <w:rFonts w:ascii="Arial" w:hAnsi="Arial"/>
          <w:b/>
          <w:sz w:val="28"/>
        </w:rPr>
        <w:t>Iowa Department of Commerce</w:t>
      </w:r>
    </w:p>
    <w:p w:rsidR="00000000" w:rsidRDefault="009C4FCF">
      <w:pPr>
        <w:jc w:val="center"/>
        <w:rPr>
          <w:rFonts w:ascii="Arial" w:hAnsi="Arial"/>
          <w:b/>
          <w:sz w:val="28"/>
        </w:rPr>
      </w:pPr>
      <w:r>
        <w:rPr>
          <w:rFonts w:ascii="Arial" w:hAnsi="Arial"/>
          <w:b/>
          <w:sz w:val="28"/>
        </w:rPr>
        <w:t>Professional Licensing and Regulation Division</w:t>
      </w:r>
    </w:p>
    <w:p w:rsidR="00000000" w:rsidRDefault="009C4FCF">
      <w:pPr>
        <w:pStyle w:val="Heading5"/>
      </w:pPr>
      <w:r>
        <w:t>Performance Report</w:t>
      </w:r>
    </w:p>
    <w:p w:rsidR="00000000" w:rsidRDefault="009C4FCF">
      <w:pPr>
        <w:jc w:val="center"/>
        <w:rPr>
          <w:rFonts w:ascii="Arial" w:hAnsi="Arial"/>
          <w:b/>
        </w:rPr>
      </w:pPr>
    </w:p>
    <w:p w:rsidR="00000000" w:rsidRDefault="009C4FCF">
      <w:pPr>
        <w:jc w:val="center"/>
        <w:rPr>
          <w:rFonts w:ascii="Arial" w:hAnsi="Arial"/>
          <w:b/>
        </w:rPr>
      </w:pPr>
    </w:p>
    <w:p w:rsidR="00000000" w:rsidRDefault="009C4FCF">
      <w:pPr>
        <w:rPr>
          <w:rFonts w:ascii="Arial" w:hAnsi="Arial"/>
          <w:u w:val="single"/>
        </w:rPr>
      </w:pPr>
      <w:r>
        <w:rPr>
          <w:rFonts w:ascii="Arial" w:hAnsi="Arial"/>
          <w:u w:val="single"/>
        </w:rPr>
        <w:t>I.  About the Division</w:t>
      </w:r>
    </w:p>
    <w:p w:rsidR="00000000" w:rsidRDefault="009C4FCF">
      <w:pPr>
        <w:rPr>
          <w:rFonts w:ascii="Arial" w:hAnsi="Arial"/>
        </w:rPr>
      </w:pPr>
      <w:r>
        <w:rPr>
          <w:rFonts w:ascii="Arial" w:hAnsi="Arial"/>
        </w:rPr>
        <w:tab/>
        <w:t>The professional licensing and regulation division exists to coordinate the administrative support for the following six professional li</w:t>
      </w:r>
      <w:r>
        <w:rPr>
          <w:rFonts w:ascii="Arial" w:hAnsi="Arial"/>
        </w:rPr>
        <w:t>censing boards that regulate approximately 34,000 licensees.</w:t>
      </w:r>
    </w:p>
    <w:p w:rsidR="00000000" w:rsidRDefault="009C4FCF">
      <w:pPr>
        <w:rPr>
          <w:rFonts w:ascii="Arial" w:hAnsi="Arial"/>
        </w:rPr>
      </w:pPr>
      <w:r>
        <w:rPr>
          <w:rFonts w:ascii="Arial" w:hAnsi="Arial"/>
        </w:rPr>
        <w:tab/>
        <w:t>a.  The engineering and land surveying examining board is a seven-member board appointed by the governor and confirmed by the senate.  It is composed of four professional engineers, one land sur</w:t>
      </w:r>
      <w:r>
        <w:rPr>
          <w:rFonts w:ascii="Arial" w:hAnsi="Arial"/>
        </w:rPr>
        <w:t>veyor, and two public members.  The board administers Iowa Code chapter 542B, Professional Engineers and Land Surveyors, and Iowa Administrative Code chapter 193C.</w:t>
      </w:r>
    </w:p>
    <w:p w:rsidR="00000000" w:rsidRDefault="009C4FCF">
      <w:pPr>
        <w:rPr>
          <w:rFonts w:ascii="Arial" w:hAnsi="Arial"/>
        </w:rPr>
      </w:pPr>
      <w:r>
        <w:rPr>
          <w:rFonts w:ascii="Arial" w:hAnsi="Arial"/>
        </w:rPr>
        <w:tab/>
        <w:t xml:space="preserve">b.  The accountancy examining board is an eight-member board appointed by the governor and </w:t>
      </w:r>
      <w:r>
        <w:rPr>
          <w:rFonts w:ascii="Arial" w:hAnsi="Arial"/>
        </w:rPr>
        <w:t>confirmed by the senate.  It is composed of five certified public accountants, one accounting practitioner, and two public members.  The board administers Iowa Code chapter 542, Public Accountants, and Iowa Administrative Code 193A.</w:t>
      </w:r>
    </w:p>
    <w:p w:rsidR="00000000" w:rsidRDefault="009C4FCF">
      <w:pPr>
        <w:rPr>
          <w:rFonts w:ascii="Arial" w:hAnsi="Arial"/>
        </w:rPr>
      </w:pPr>
      <w:r>
        <w:rPr>
          <w:rFonts w:ascii="Arial" w:hAnsi="Arial"/>
        </w:rPr>
        <w:tab/>
        <w:t>c.  The real estate co</w:t>
      </w:r>
      <w:r>
        <w:rPr>
          <w:rFonts w:ascii="Arial" w:hAnsi="Arial"/>
        </w:rPr>
        <w:t>mmission is a five-member commission appointed by the governor and confirmed by the senate.  It is composed of three members licensed under Iowa Code chapter 543B and three public members. The board administers Iowa Code chapter 543B; Real Estate Brokers a</w:t>
      </w:r>
      <w:r>
        <w:rPr>
          <w:rFonts w:ascii="Arial" w:hAnsi="Arial"/>
        </w:rPr>
        <w:t>nd Salespersons; 543C, Sales of Subdivided Land Outside of Iowa; 557A, Time-Share Act; and Iowa Administrative Code 193E.</w:t>
      </w:r>
    </w:p>
    <w:p w:rsidR="00000000" w:rsidRDefault="009C4FCF">
      <w:pPr>
        <w:rPr>
          <w:rFonts w:ascii="Arial" w:hAnsi="Arial"/>
        </w:rPr>
      </w:pPr>
      <w:r>
        <w:rPr>
          <w:rFonts w:ascii="Arial" w:hAnsi="Arial"/>
        </w:rPr>
        <w:tab/>
        <w:t xml:space="preserve">d.  The architectural examining board is a seven-member board appointed by the governor and confirmed by the senate.  It is composed </w:t>
      </w:r>
      <w:r>
        <w:rPr>
          <w:rFonts w:ascii="Arial" w:hAnsi="Arial"/>
        </w:rPr>
        <w:t>of five registered architects and two public members.  The board administers Iowa Code chapter 544A, Registered Architects, and Iowa Administrative Code chapter 193B.</w:t>
      </w:r>
    </w:p>
    <w:p w:rsidR="00000000" w:rsidRDefault="009C4FCF">
      <w:pPr>
        <w:rPr>
          <w:rFonts w:ascii="Arial" w:hAnsi="Arial"/>
        </w:rPr>
      </w:pPr>
      <w:r>
        <w:rPr>
          <w:rFonts w:ascii="Arial" w:hAnsi="Arial"/>
        </w:rPr>
        <w:tab/>
        <w:t>e.  The landscape architectural examining board is a seven-member board appointed by the</w:t>
      </w:r>
      <w:r>
        <w:rPr>
          <w:rFonts w:ascii="Arial" w:hAnsi="Arial"/>
        </w:rPr>
        <w:t xml:space="preserve"> governor and confirmed by the senate. It is composed of five registered landscape architects and two public members.  The board administers Iowa Code chapter 544B, Landscape Architects, and Iowa Administrative Code chapter 193D.</w:t>
      </w:r>
    </w:p>
    <w:p w:rsidR="00000000" w:rsidRDefault="009C4FCF">
      <w:pPr>
        <w:rPr>
          <w:rFonts w:ascii="Arial" w:hAnsi="Arial"/>
        </w:rPr>
      </w:pPr>
      <w:r>
        <w:rPr>
          <w:rFonts w:ascii="Arial" w:hAnsi="Arial"/>
        </w:rPr>
        <w:tab/>
        <w:t>f.  The real estate appra</w:t>
      </w:r>
      <w:r>
        <w:rPr>
          <w:rFonts w:ascii="Arial" w:hAnsi="Arial"/>
        </w:rPr>
        <w:t>iser examining board is a seven-member board appointed by the governor and confirmed by the senate.  It is composed of five certified real estate appraisers and two public members.  The board administers Iowa Code chapter 543D, Real Estate Appraisals and A</w:t>
      </w:r>
      <w:r>
        <w:rPr>
          <w:rFonts w:ascii="Arial" w:hAnsi="Arial"/>
        </w:rPr>
        <w:t>ppraisers, and Iowa Administrative Code chapter 193F.</w:t>
      </w:r>
    </w:p>
    <w:p w:rsidR="00000000" w:rsidRDefault="009C4FCF">
      <w:pPr>
        <w:rPr>
          <w:rFonts w:ascii="Arial" w:hAnsi="Arial"/>
        </w:rPr>
      </w:pPr>
      <w:r>
        <w:rPr>
          <w:rFonts w:ascii="Arial" w:hAnsi="Arial"/>
        </w:rPr>
        <w:tab/>
        <w:t xml:space="preserve">g.  The administrator of professional licensing is the superintendent of the division of savings and loan.  The superintendent is to administer chapter 534, Savings and Loan Associations; chapter 527, </w:t>
      </w:r>
      <w:r>
        <w:rPr>
          <w:rFonts w:ascii="Arial" w:hAnsi="Arial"/>
        </w:rPr>
        <w:t>Electronic Transfer of Funds as it applies to savings and loan associations, and Iowa Administrative Code chapter 197. Currently there are no state chartered saving and loan associations, all are federally chartered, therefore the division's involvement wi</w:t>
      </w:r>
      <w:r>
        <w:rPr>
          <w:rFonts w:ascii="Arial" w:hAnsi="Arial"/>
        </w:rPr>
        <w:t>th the rules that apply is very limited.</w:t>
      </w:r>
    </w:p>
    <w:p w:rsidR="00000000" w:rsidRDefault="009C4FCF">
      <w:pPr>
        <w:rPr>
          <w:rFonts w:ascii="Arial" w:hAnsi="Arial"/>
        </w:rPr>
      </w:pPr>
      <w:r>
        <w:rPr>
          <w:rFonts w:ascii="Arial" w:hAnsi="Arial"/>
        </w:rPr>
        <w:tab/>
      </w:r>
    </w:p>
    <w:p w:rsidR="00000000" w:rsidRDefault="009C4FCF">
      <w:pPr>
        <w:rPr>
          <w:rFonts w:ascii="Arial" w:hAnsi="Arial"/>
        </w:rPr>
      </w:pPr>
      <w:r>
        <w:rPr>
          <w:rFonts w:ascii="Arial" w:hAnsi="Arial"/>
        </w:rPr>
        <w:lastRenderedPageBreak/>
        <w:t xml:space="preserve">To ensure citizens of the state receive professional, competent, and safe services, each board examines, licenses, certifies, or issues permits or licenses to practitioners, sets standards for license renewal and </w:t>
      </w:r>
      <w:r>
        <w:rPr>
          <w:rFonts w:ascii="Arial" w:hAnsi="Arial"/>
        </w:rPr>
        <w:t xml:space="preserve">continuing education, investigates all complaints filed and considers alleged violations of their practice act and Iowa regulations, conducts disciplinary hearings, and actively monitors the compliance of licensees with orders issued by the board. </w:t>
      </w:r>
    </w:p>
    <w:p w:rsidR="00000000" w:rsidRDefault="009C4FCF">
      <w:pPr>
        <w:rPr>
          <w:rFonts w:ascii="Arial" w:hAnsi="Arial"/>
        </w:rPr>
      </w:pPr>
      <w:r>
        <w:rPr>
          <w:rFonts w:ascii="Arial" w:hAnsi="Arial"/>
        </w:rPr>
        <w:t xml:space="preserve"> The Di</w:t>
      </w:r>
      <w:r>
        <w:rPr>
          <w:rFonts w:ascii="Arial" w:hAnsi="Arial"/>
        </w:rPr>
        <w:t>vision is dedicated to the protection of the public through its regulatory activities. To achieve this goal, each examining board or commission adopts rules and establishes standards for registrants.</w:t>
      </w:r>
    </w:p>
    <w:p w:rsidR="00000000" w:rsidRDefault="009C4FCF">
      <w:pPr>
        <w:rPr>
          <w:rFonts w:ascii="Arial" w:hAnsi="Arial"/>
        </w:rPr>
      </w:pPr>
    </w:p>
    <w:p w:rsidR="00000000" w:rsidRDefault="009C4FCF">
      <w:pPr>
        <w:rPr>
          <w:rFonts w:ascii="Arial" w:hAnsi="Arial"/>
        </w:rPr>
      </w:pPr>
    </w:p>
    <w:p w:rsidR="00000000" w:rsidRDefault="009C4FCF">
      <w:pPr>
        <w:rPr>
          <w:rFonts w:ascii="Arial" w:hAnsi="Arial"/>
        </w:rPr>
      </w:pPr>
    </w:p>
    <w:p w:rsidR="00000000" w:rsidRDefault="009C4FCF">
      <w:pPr>
        <w:rPr>
          <w:rFonts w:ascii="Arial" w:hAnsi="Arial"/>
        </w:rPr>
      </w:pPr>
    </w:p>
    <w:p w:rsidR="00000000" w:rsidRDefault="009C4FCF">
      <w:pPr>
        <w:pStyle w:val="Heading6"/>
      </w:pPr>
      <w:r>
        <w:t>PERFORMANCE PLAN RESULTS</w:t>
      </w:r>
    </w:p>
    <w:p w:rsidR="00000000" w:rsidRDefault="009C4FCF">
      <w:pPr>
        <w:jc w:val="center"/>
        <w:rPr>
          <w:rFonts w:ascii="Arial Black" w:hAnsi="Arial Black"/>
          <w:sz w:val="36"/>
          <w:szCs w:val="36"/>
        </w:rPr>
      </w:pPr>
    </w:p>
    <w:p w:rsidR="00000000" w:rsidRDefault="009C4FCF">
      <w:pPr>
        <w:pStyle w:val="Heading2"/>
        <w:keepNext/>
        <w:jc w:val="center"/>
        <w:rPr>
          <w:b/>
          <w:bCs/>
        </w:rPr>
      </w:pPr>
      <w:r>
        <w:rPr>
          <w:b/>
          <w:bCs/>
        </w:rPr>
        <w:t>CORE FUNCTION</w:t>
      </w:r>
    </w:p>
    <w:p w:rsidR="00000000" w:rsidRDefault="009C4FCF">
      <w:pPr>
        <w:jc w:val="both"/>
      </w:pPr>
    </w:p>
    <w:p w:rsidR="00000000" w:rsidRDefault="009C4FCF">
      <w:pPr>
        <w:jc w:val="both"/>
        <w:rPr>
          <w:rFonts w:ascii="Arial" w:hAnsi="Arial" w:cs="Arial"/>
        </w:rPr>
      </w:pPr>
      <w:r>
        <w:rPr>
          <w:rFonts w:ascii="Arial" w:hAnsi="Arial" w:cs="Arial"/>
          <w:b/>
          <w:bCs/>
        </w:rPr>
        <w:t xml:space="preserve">Name: </w:t>
      </w:r>
      <w:r>
        <w:rPr>
          <w:rFonts w:ascii="Arial" w:hAnsi="Arial" w:cs="Arial"/>
        </w:rPr>
        <w:t>Regul</w:t>
      </w:r>
      <w:r>
        <w:rPr>
          <w:rFonts w:ascii="Arial" w:hAnsi="Arial" w:cs="Arial"/>
        </w:rPr>
        <w:t>ation and Compliance</w:t>
      </w:r>
    </w:p>
    <w:p w:rsidR="00000000" w:rsidRDefault="009C4FCF">
      <w:pPr>
        <w:jc w:val="both"/>
        <w:rPr>
          <w:rFonts w:ascii="Arial" w:hAnsi="Arial" w:cs="Arial"/>
        </w:rPr>
      </w:pPr>
    </w:p>
    <w:p w:rsidR="00000000" w:rsidRDefault="009C4FCF">
      <w:pPr>
        <w:jc w:val="both"/>
        <w:rPr>
          <w:rFonts w:ascii="Arial" w:hAnsi="Arial" w:cs="Arial"/>
          <w:b/>
          <w:bCs/>
        </w:rPr>
      </w:pPr>
      <w:r>
        <w:rPr>
          <w:rFonts w:ascii="Arial" w:hAnsi="Arial" w:cs="Arial"/>
          <w:b/>
          <w:bCs/>
        </w:rPr>
        <w:t xml:space="preserve">Description: </w:t>
      </w:r>
      <w:r>
        <w:rPr>
          <w:rFonts w:ascii="Arial" w:hAnsi="Arial" w:cs="Arial"/>
        </w:rPr>
        <w:t>The Professional Licensing and Regulation Division investigates and resolves complaints filed against all licensees regulated by the six professions.</w:t>
      </w:r>
    </w:p>
    <w:p w:rsidR="00000000" w:rsidRDefault="009C4FCF">
      <w:pPr>
        <w:jc w:val="both"/>
        <w:rPr>
          <w:rFonts w:ascii="Arial" w:hAnsi="Arial" w:cs="Arial"/>
        </w:rPr>
      </w:pPr>
    </w:p>
    <w:p w:rsidR="00000000" w:rsidRDefault="009C4FCF">
      <w:pPr>
        <w:jc w:val="both"/>
        <w:rPr>
          <w:rFonts w:ascii="Arial" w:hAnsi="Arial" w:cs="Arial"/>
        </w:rPr>
      </w:pPr>
      <w:r>
        <w:rPr>
          <w:rFonts w:ascii="Arial" w:hAnsi="Arial" w:cs="Arial"/>
          <w:b/>
          <w:bCs/>
        </w:rPr>
        <w:t>Why we are doing this:</w:t>
      </w:r>
      <w:r>
        <w:rPr>
          <w:rFonts w:ascii="Arial" w:hAnsi="Arial" w:cs="Arial"/>
        </w:rPr>
        <w:t xml:space="preserve"> To preserve and protect the public’s health saf</w:t>
      </w:r>
      <w:r>
        <w:rPr>
          <w:rFonts w:ascii="Arial" w:hAnsi="Arial" w:cs="Arial"/>
        </w:rPr>
        <w:t xml:space="preserve">ety and welfare. </w:t>
      </w:r>
    </w:p>
    <w:p w:rsidR="00000000" w:rsidRDefault="009C4FCF">
      <w:pPr>
        <w:jc w:val="both"/>
        <w:rPr>
          <w:rFonts w:ascii="Arial" w:hAnsi="Arial" w:cs="Arial"/>
        </w:rPr>
      </w:pPr>
      <w:r>
        <w:rPr>
          <w:rFonts w:ascii="Arial" w:hAnsi="Arial" w:cs="Arial"/>
        </w:rPr>
        <w:br/>
      </w:r>
      <w:r>
        <w:rPr>
          <w:rFonts w:ascii="Arial" w:hAnsi="Arial" w:cs="Arial"/>
          <w:b/>
          <w:bCs/>
        </w:rPr>
        <w:t xml:space="preserve">What we're doing to achieve results: </w:t>
      </w:r>
      <w:r>
        <w:rPr>
          <w:rFonts w:ascii="Arial" w:hAnsi="Arial" w:cs="Arial"/>
        </w:rPr>
        <w:t>Provide complaint forms and information on each of the professions web pages.</w:t>
      </w:r>
    </w:p>
    <w:p w:rsidR="00000000" w:rsidRDefault="009C4FCF">
      <w:pPr>
        <w:jc w:val="both"/>
        <w:rPr>
          <w:rFonts w:ascii="Arial" w:hAnsi="Arial" w:cs="Arial"/>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Measure</w:t>
      </w:r>
      <w:r>
        <w:rPr>
          <w:rFonts w:ascii="Arial" w:hAnsi="Arial" w:cs="Arial"/>
          <w:i/>
          <w:iCs/>
          <w:color w:val="000000"/>
        </w:rPr>
        <w:t>:</w:t>
      </w:r>
      <w:r>
        <w:rPr>
          <w:rFonts w:ascii="Arial" w:hAnsi="Arial" w:cs="Arial"/>
          <w:color w:val="000000"/>
        </w:rPr>
        <w:br/>
        <w:t>To provide investigation and resolution of written</w:t>
      </w:r>
    </w:p>
    <w:p w:rsidR="00000000" w:rsidRDefault="009C4FCF">
      <w:pPr>
        <w:spacing w:line="320" w:lineRule="atLeast"/>
        <w:ind w:left="220"/>
        <w:rPr>
          <w:rFonts w:ascii="Arial" w:hAnsi="Arial" w:cs="Arial"/>
          <w:color w:val="000000"/>
        </w:rPr>
      </w:pPr>
      <w:r>
        <w:rPr>
          <w:rFonts w:ascii="Arial" w:hAnsi="Arial" w:cs="Arial"/>
          <w:color w:val="000000"/>
        </w:rPr>
        <w:t>complaints received</w:t>
      </w:r>
      <w:r>
        <w:rPr>
          <w:rFonts w:ascii="Arial" w:hAnsi="Arial" w:cs="Arial"/>
          <w:b/>
          <w:bCs/>
          <w:i/>
          <w:iCs/>
          <w:color w:val="000000"/>
        </w:rPr>
        <w:t>.</w:t>
      </w:r>
    </w:p>
    <w:p w:rsidR="00000000" w:rsidRDefault="009C4FCF">
      <w:pPr>
        <w:spacing w:line="320" w:lineRule="atLeast"/>
        <w:ind w:left="220"/>
        <w:rPr>
          <w:color w:val="000000"/>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Target</w:t>
      </w:r>
      <w:r>
        <w:rPr>
          <w:rFonts w:ascii="Arial" w:hAnsi="Arial" w:cs="Arial"/>
          <w:i/>
          <w:iCs/>
          <w:color w:val="000000"/>
        </w:rPr>
        <w:t xml:space="preserve">: </w:t>
      </w:r>
      <w:r>
        <w:rPr>
          <w:rFonts w:ascii="Arial" w:hAnsi="Arial" w:cs="Arial"/>
          <w:color w:val="000000"/>
        </w:rPr>
        <w:t>Targets</w:t>
      </w:r>
      <w:r>
        <w:rPr>
          <w:rFonts w:ascii="Arial" w:hAnsi="Arial" w:cs="Arial"/>
          <w:color w:val="000000"/>
        </w:rPr>
        <w:t xml:space="preserve"> are to investigate and resolve 75%</w:t>
      </w:r>
    </w:p>
    <w:p w:rsidR="00000000" w:rsidRDefault="009C4FCF">
      <w:pPr>
        <w:spacing w:line="320" w:lineRule="atLeast"/>
        <w:ind w:left="220"/>
        <w:rPr>
          <w:rFonts w:ascii="Arial" w:hAnsi="Arial" w:cs="Arial"/>
          <w:color w:val="000000"/>
        </w:rPr>
      </w:pPr>
      <w:r>
        <w:rPr>
          <w:rFonts w:ascii="Arial" w:hAnsi="Arial" w:cs="Arial"/>
          <w:color w:val="000000"/>
        </w:rPr>
        <w:t>of all written complaints received within the fiscal year.</w:t>
      </w:r>
    </w:p>
    <w:p w:rsidR="00000000" w:rsidRDefault="009C4FCF">
      <w:pPr>
        <w:spacing w:line="320" w:lineRule="atLeast"/>
        <w:ind w:left="220"/>
        <w:rPr>
          <w:rFonts w:ascii="Arial" w:hAnsi="Arial" w:cs="Arial"/>
          <w:i/>
          <w:iCs/>
          <w:color w:val="000000"/>
        </w:rPr>
      </w:pPr>
    </w:p>
    <w:p w:rsidR="00000000" w:rsidRDefault="009C4FCF">
      <w:pPr>
        <w:jc w:val="both"/>
        <w:rPr>
          <w:rFonts w:ascii="Arial" w:hAnsi="Arial" w:cs="Arial"/>
          <w:color w:val="000000"/>
          <w:sz w:val="22"/>
          <w:szCs w:val="22"/>
        </w:rPr>
      </w:pPr>
      <w:r>
        <w:rPr>
          <w:rFonts w:ascii="Arial" w:hAnsi="Arial" w:cs="Arial"/>
          <w:b/>
          <w:bCs/>
          <w:i/>
          <w:iCs/>
          <w:color w:val="000000"/>
        </w:rPr>
        <w:t xml:space="preserve">   Data Sources</w:t>
      </w:r>
      <w:r>
        <w:rPr>
          <w:rFonts w:ascii="Arial" w:hAnsi="Arial" w:cs="Arial"/>
          <w:i/>
          <w:iCs/>
          <w:color w:val="000000"/>
        </w:rPr>
        <w:t>:</w:t>
      </w:r>
      <w:r>
        <w:rPr>
          <w:rFonts w:ascii="Arial" w:hAnsi="Arial" w:cs="Arial"/>
          <w:i/>
          <w:iCs/>
          <w:color w:val="000000"/>
          <w:sz w:val="22"/>
          <w:szCs w:val="22"/>
        </w:rPr>
        <w:t xml:space="preserve"> </w:t>
      </w:r>
      <w:r>
        <w:rPr>
          <w:rFonts w:ascii="Arial" w:hAnsi="Arial" w:cs="Arial"/>
          <w:color w:val="000000"/>
          <w:sz w:val="22"/>
          <w:szCs w:val="22"/>
        </w:rPr>
        <w:t>Review of Board/Commission meeting minutes.</w:t>
      </w:r>
    </w:p>
    <w:p w:rsidR="00000000" w:rsidRDefault="009C4FCF">
      <w:pPr>
        <w:jc w:val="both"/>
        <w:rPr>
          <w:rFonts w:ascii="Arial" w:hAnsi="Arial" w:cs="Arial"/>
          <w:color w:val="000000"/>
          <w:sz w:val="22"/>
          <w:szCs w:val="22"/>
        </w:rPr>
      </w:pPr>
    </w:p>
    <w:tbl>
      <w:tblPr>
        <w:tblW w:w="0" w:type="auto"/>
        <w:tblInd w:w="-180" w:type="dxa"/>
        <w:tblLayout w:type="fixed"/>
        <w:tblCellMar>
          <w:left w:w="0" w:type="dxa"/>
          <w:right w:w="0" w:type="dxa"/>
        </w:tblCellMar>
        <w:tblLook w:val="0000"/>
      </w:tblPr>
      <w:tblGrid>
        <w:gridCol w:w="10080"/>
      </w:tblGrid>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rPr>
            </w:pPr>
            <w:r>
              <w:rPr>
                <w:rFonts w:ascii="Arial" w:hAnsi="Arial" w:cs="Arial"/>
                <w:b/>
                <w:bCs/>
              </w:rPr>
              <w:t xml:space="preserve">Data reliability: </w:t>
            </w:r>
            <w:r>
              <w:rPr>
                <w:rFonts w:ascii="Arial" w:hAnsi="Arial" w:cs="Arial"/>
              </w:rPr>
              <w:t>The Boards/Commission maintains files and records for each case opened and close</w:t>
            </w:r>
            <w:r>
              <w:rPr>
                <w:rFonts w:ascii="Arial" w:hAnsi="Arial" w:cs="Arial"/>
              </w:rPr>
              <w:t>d.</w:t>
            </w: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rPr>
            </w:pP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Why we are using this measure:</w:t>
            </w:r>
            <w:r>
              <w:rPr>
                <w:rFonts w:ascii="Arial" w:hAnsi="Arial" w:cs="Arial"/>
                <w:color w:val="000000"/>
              </w:rPr>
              <w:t xml:space="preserve"> To assure the public persons admitted to practice maintain acceptable standards.</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What was achieved: </w:t>
            </w:r>
            <w:r>
              <w:rPr>
                <w:rFonts w:ascii="Arial" w:hAnsi="Arial" w:cs="Arial"/>
                <w:color w:val="000000"/>
              </w:rPr>
              <w:t>The Division has not exceeded the performance target, as we do not have a staff investigator position. The Division m</w:t>
            </w:r>
            <w:r>
              <w:rPr>
                <w:rFonts w:ascii="Arial" w:hAnsi="Arial" w:cs="Arial"/>
                <w:color w:val="000000"/>
              </w:rPr>
              <w:t xml:space="preserve">ust rely on volunteer and contract </w:t>
            </w:r>
            <w:r>
              <w:rPr>
                <w:rFonts w:ascii="Arial" w:hAnsi="Arial" w:cs="Arial"/>
                <w:color w:val="000000"/>
              </w:rPr>
              <w:lastRenderedPageBreak/>
              <w:t>investigators.</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lastRenderedPageBreak/>
              <w:t xml:space="preserve">Analysis of results: </w:t>
            </w:r>
            <w:r>
              <w:rPr>
                <w:rFonts w:ascii="Arial" w:hAnsi="Arial" w:cs="Arial"/>
                <w:color w:val="000000"/>
              </w:rPr>
              <w:t>Only 58% of all complaints received were resolved within the fiscal year.</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Factors affecting results: </w:t>
            </w:r>
            <w:r>
              <w:rPr>
                <w:rFonts w:ascii="Arial" w:hAnsi="Arial" w:cs="Arial"/>
                <w:color w:val="000000"/>
              </w:rPr>
              <w:t>No staff investigator.</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08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Resources used: </w:t>
            </w:r>
            <w:r>
              <w:rPr>
                <w:rFonts w:ascii="Arial" w:hAnsi="Arial" w:cs="Arial"/>
                <w:color w:val="000000"/>
              </w:rPr>
              <w:t>The Division is a self-supporting agenc</w:t>
            </w:r>
            <w:r>
              <w:rPr>
                <w:rFonts w:ascii="Arial" w:hAnsi="Arial" w:cs="Arial"/>
                <w:color w:val="000000"/>
              </w:rPr>
              <w:t>y without the use of tax revenues from the general fund. Funding for the Division comes from fees collected from the licensees regulated.</w:t>
            </w:r>
          </w:p>
          <w:p w:rsidR="00000000" w:rsidRDefault="009C4FCF">
            <w:pPr>
              <w:rPr>
                <w:rFonts w:ascii="Arial" w:hAnsi="Arial" w:cs="Arial"/>
                <w:color w:val="000000"/>
              </w:rPr>
            </w:pPr>
          </w:p>
          <w:p w:rsidR="00000000" w:rsidRDefault="009C4FCF">
            <w:pPr>
              <w:rPr>
                <w:rFonts w:ascii="Arial" w:hAnsi="Arial" w:cs="Arial"/>
                <w:color w:val="000000"/>
              </w:rPr>
            </w:pPr>
          </w:p>
        </w:tc>
      </w:tr>
    </w:tbl>
    <w:p w:rsidR="00000000" w:rsidRDefault="009C4FCF">
      <w:pPr>
        <w:jc w:val="both"/>
      </w:pPr>
    </w:p>
    <w:p w:rsidR="00000000" w:rsidRDefault="009C4FCF">
      <w:pPr>
        <w:pStyle w:val="Heading3"/>
        <w:rPr>
          <w:sz w:val="28"/>
        </w:rPr>
      </w:pPr>
      <w:r>
        <w:rPr>
          <w:sz w:val="28"/>
        </w:rPr>
        <w:t>PERFORMANCE PLAN RESULTS</w:t>
      </w:r>
    </w:p>
    <w:p w:rsidR="00000000" w:rsidRDefault="009C4FCF">
      <w:pPr>
        <w:jc w:val="center"/>
        <w:rPr>
          <w:rFonts w:ascii="Arial Black" w:hAnsi="Arial Black"/>
          <w:sz w:val="36"/>
          <w:szCs w:val="36"/>
        </w:rPr>
      </w:pPr>
    </w:p>
    <w:p w:rsidR="00000000" w:rsidRDefault="009C4FCF">
      <w:pPr>
        <w:pStyle w:val="Heading2"/>
        <w:keepNext/>
        <w:jc w:val="center"/>
        <w:rPr>
          <w:b/>
          <w:bCs/>
        </w:rPr>
      </w:pPr>
      <w:r>
        <w:rPr>
          <w:b/>
          <w:bCs/>
        </w:rPr>
        <w:t>SERVICE/PRODUCT/ACTIVITY</w:t>
      </w:r>
    </w:p>
    <w:p w:rsidR="00000000" w:rsidRDefault="009C4FCF">
      <w:pPr>
        <w:jc w:val="both"/>
      </w:pPr>
    </w:p>
    <w:p w:rsidR="00000000" w:rsidRDefault="009C4FCF">
      <w:pPr>
        <w:jc w:val="both"/>
        <w:rPr>
          <w:rFonts w:ascii="Arial" w:hAnsi="Arial" w:cs="Arial"/>
        </w:rPr>
      </w:pPr>
      <w:r>
        <w:rPr>
          <w:rFonts w:ascii="Arial" w:hAnsi="Arial" w:cs="Arial"/>
          <w:b/>
          <w:bCs/>
        </w:rPr>
        <w:t xml:space="preserve">Name: </w:t>
      </w:r>
      <w:r>
        <w:rPr>
          <w:rFonts w:ascii="Arial" w:hAnsi="Arial" w:cs="Arial"/>
        </w:rPr>
        <w:t>Examinations</w:t>
      </w:r>
    </w:p>
    <w:p w:rsidR="00000000" w:rsidRDefault="009C4FCF">
      <w:pPr>
        <w:jc w:val="both"/>
        <w:rPr>
          <w:rFonts w:ascii="Arial" w:hAnsi="Arial" w:cs="Arial"/>
        </w:rPr>
      </w:pPr>
    </w:p>
    <w:p w:rsidR="00000000" w:rsidRDefault="009C4FCF">
      <w:pPr>
        <w:jc w:val="both"/>
        <w:rPr>
          <w:rFonts w:ascii="Arial" w:hAnsi="Arial" w:cs="Arial"/>
          <w:b/>
          <w:bCs/>
        </w:rPr>
      </w:pPr>
      <w:r>
        <w:rPr>
          <w:rFonts w:ascii="Arial" w:hAnsi="Arial" w:cs="Arial"/>
          <w:b/>
          <w:bCs/>
        </w:rPr>
        <w:t xml:space="preserve">Description: </w:t>
      </w:r>
      <w:r>
        <w:rPr>
          <w:rFonts w:ascii="Arial" w:hAnsi="Arial" w:cs="Arial"/>
        </w:rPr>
        <w:t>The Professional Licensing an</w:t>
      </w:r>
      <w:r>
        <w:rPr>
          <w:rFonts w:ascii="Arial" w:hAnsi="Arial" w:cs="Arial"/>
        </w:rPr>
        <w:t>d Regulation Division offers entry-level examinations for six professions.</w:t>
      </w:r>
    </w:p>
    <w:p w:rsidR="00000000" w:rsidRDefault="009C4FCF">
      <w:pPr>
        <w:jc w:val="both"/>
        <w:rPr>
          <w:rFonts w:ascii="Arial" w:hAnsi="Arial" w:cs="Arial"/>
        </w:rPr>
      </w:pPr>
    </w:p>
    <w:p w:rsidR="00000000" w:rsidRDefault="009C4FCF">
      <w:pPr>
        <w:jc w:val="both"/>
        <w:rPr>
          <w:rFonts w:ascii="Arial" w:hAnsi="Arial" w:cs="Arial"/>
        </w:rPr>
      </w:pPr>
      <w:r>
        <w:rPr>
          <w:rFonts w:ascii="Arial" w:hAnsi="Arial" w:cs="Arial"/>
          <w:b/>
          <w:bCs/>
        </w:rPr>
        <w:t>Why we are doing this:</w:t>
      </w:r>
      <w:r>
        <w:rPr>
          <w:rFonts w:ascii="Arial" w:hAnsi="Arial" w:cs="Arial"/>
        </w:rPr>
        <w:t xml:space="preserve"> To assure the public only persons qualified are admitted to practice.</w:t>
      </w:r>
    </w:p>
    <w:p w:rsidR="00000000" w:rsidRDefault="009C4FCF">
      <w:pPr>
        <w:jc w:val="both"/>
        <w:rPr>
          <w:rFonts w:ascii="Arial" w:hAnsi="Arial" w:cs="Arial"/>
        </w:rPr>
      </w:pPr>
      <w:r>
        <w:rPr>
          <w:rFonts w:ascii="Arial" w:hAnsi="Arial" w:cs="Arial"/>
        </w:rPr>
        <w:br/>
      </w:r>
      <w:r>
        <w:rPr>
          <w:rFonts w:ascii="Arial" w:hAnsi="Arial" w:cs="Arial"/>
          <w:b/>
          <w:bCs/>
        </w:rPr>
        <w:t xml:space="preserve">What we're doing to achieve results: </w:t>
      </w:r>
      <w:r>
        <w:rPr>
          <w:rFonts w:ascii="Arial" w:hAnsi="Arial" w:cs="Arial"/>
        </w:rPr>
        <w:t>The Division is improving and streamlining the ap</w:t>
      </w:r>
      <w:r>
        <w:rPr>
          <w:rFonts w:ascii="Arial" w:hAnsi="Arial" w:cs="Arial"/>
        </w:rPr>
        <w:t>plication process for each profession.</w:t>
      </w:r>
    </w:p>
    <w:p w:rsidR="00000000" w:rsidRDefault="009C4FCF">
      <w:pPr>
        <w:jc w:val="both"/>
        <w:rPr>
          <w:rFonts w:ascii="Arial" w:hAnsi="Arial" w:cs="Arial"/>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Measure</w:t>
      </w:r>
      <w:r>
        <w:rPr>
          <w:rFonts w:ascii="Arial" w:hAnsi="Arial" w:cs="Arial"/>
          <w:i/>
          <w:iCs/>
          <w:color w:val="000000"/>
        </w:rPr>
        <w:t>:</w:t>
      </w:r>
      <w:r>
        <w:rPr>
          <w:rFonts w:ascii="Arial" w:hAnsi="Arial" w:cs="Arial"/>
          <w:color w:val="000000"/>
        </w:rPr>
        <w:br/>
        <w:t>To examine qualified applicants.</w:t>
      </w:r>
    </w:p>
    <w:p w:rsidR="00000000" w:rsidRDefault="009C4FCF">
      <w:pPr>
        <w:spacing w:line="320" w:lineRule="atLeast"/>
        <w:ind w:left="220"/>
        <w:rPr>
          <w:rFonts w:ascii="Arial" w:hAnsi="Arial" w:cs="Arial"/>
          <w:color w:val="000000"/>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Target</w:t>
      </w:r>
      <w:r>
        <w:rPr>
          <w:rFonts w:ascii="Arial" w:hAnsi="Arial" w:cs="Arial"/>
          <w:i/>
          <w:iCs/>
          <w:color w:val="000000"/>
        </w:rPr>
        <w:t xml:space="preserve">: </w:t>
      </w:r>
      <w:r>
        <w:rPr>
          <w:rFonts w:ascii="Arial" w:hAnsi="Arial" w:cs="Arial"/>
          <w:color w:val="000000"/>
        </w:rPr>
        <w:t>Targets are to examine 99% of</w:t>
      </w:r>
    </w:p>
    <w:p w:rsidR="00000000" w:rsidRDefault="009C4FCF">
      <w:pPr>
        <w:spacing w:line="320" w:lineRule="atLeast"/>
        <w:ind w:left="220"/>
        <w:rPr>
          <w:rFonts w:ascii="Arial" w:hAnsi="Arial" w:cs="Arial"/>
          <w:color w:val="000000"/>
        </w:rPr>
      </w:pPr>
      <w:r>
        <w:rPr>
          <w:rFonts w:ascii="Arial" w:hAnsi="Arial" w:cs="Arial"/>
          <w:color w:val="000000"/>
        </w:rPr>
        <w:t>all qualified applicants</w:t>
      </w:r>
      <w:r>
        <w:rPr>
          <w:rFonts w:ascii="Arial" w:hAnsi="Arial" w:cs="Arial"/>
          <w:b/>
          <w:bCs/>
          <w:i/>
          <w:iCs/>
          <w:color w:val="000000"/>
        </w:rPr>
        <w:t>.</w:t>
      </w:r>
    </w:p>
    <w:p w:rsidR="00000000" w:rsidRDefault="009C4FCF">
      <w:pPr>
        <w:spacing w:line="320" w:lineRule="atLeast"/>
        <w:ind w:left="220"/>
        <w:rPr>
          <w:rFonts w:ascii="Arial" w:hAnsi="Arial" w:cs="Arial"/>
          <w:i/>
          <w:iCs/>
          <w:color w:val="000000"/>
        </w:rPr>
      </w:pPr>
    </w:p>
    <w:p w:rsidR="00000000" w:rsidRDefault="009C4FCF">
      <w:pPr>
        <w:jc w:val="both"/>
        <w:rPr>
          <w:rFonts w:ascii="Arial" w:hAnsi="Arial" w:cs="Arial"/>
          <w:color w:val="000000"/>
          <w:sz w:val="22"/>
          <w:szCs w:val="22"/>
        </w:rPr>
      </w:pPr>
      <w:r>
        <w:rPr>
          <w:rFonts w:ascii="Arial" w:hAnsi="Arial" w:cs="Arial"/>
          <w:b/>
          <w:bCs/>
          <w:i/>
          <w:iCs/>
          <w:color w:val="000000"/>
        </w:rPr>
        <w:t xml:space="preserve"> Data Sources</w:t>
      </w:r>
      <w:r>
        <w:rPr>
          <w:rFonts w:ascii="Arial" w:hAnsi="Arial" w:cs="Arial"/>
          <w:i/>
          <w:iCs/>
          <w:color w:val="000000"/>
        </w:rPr>
        <w:t>:</w:t>
      </w:r>
      <w:r>
        <w:rPr>
          <w:rFonts w:ascii="Arial" w:hAnsi="Arial" w:cs="Arial"/>
          <w:i/>
          <w:iCs/>
          <w:color w:val="000000"/>
          <w:sz w:val="22"/>
          <w:szCs w:val="22"/>
        </w:rPr>
        <w:t xml:space="preserve"> </w:t>
      </w:r>
      <w:r>
        <w:rPr>
          <w:rFonts w:ascii="Arial" w:hAnsi="Arial" w:cs="Arial"/>
          <w:color w:val="000000"/>
          <w:sz w:val="22"/>
          <w:szCs w:val="22"/>
        </w:rPr>
        <w:t>Examination administration reports submitted by the testing organizat</w:t>
      </w:r>
      <w:r>
        <w:rPr>
          <w:rFonts w:ascii="Arial" w:hAnsi="Arial" w:cs="Arial"/>
          <w:color w:val="000000"/>
          <w:sz w:val="22"/>
          <w:szCs w:val="22"/>
        </w:rPr>
        <w:t>ions.</w:t>
      </w:r>
    </w:p>
    <w:p w:rsidR="00000000" w:rsidRDefault="009C4FCF">
      <w:pPr>
        <w:jc w:val="both"/>
        <w:rPr>
          <w:rFonts w:ascii="Arial" w:hAnsi="Arial" w:cs="Arial"/>
          <w:color w:val="000000"/>
          <w:sz w:val="22"/>
          <w:szCs w:val="22"/>
        </w:rPr>
      </w:pPr>
    </w:p>
    <w:tbl>
      <w:tblPr>
        <w:tblW w:w="10125" w:type="dxa"/>
        <w:tblInd w:w="-225" w:type="dxa"/>
        <w:tblLayout w:type="fixed"/>
        <w:tblCellMar>
          <w:left w:w="0" w:type="dxa"/>
          <w:right w:w="0" w:type="dxa"/>
        </w:tblCellMar>
        <w:tblLook w:val="0000"/>
      </w:tblPr>
      <w:tblGrid>
        <w:gridCol w:w="10125"/>
      </w:tblGrid>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rPr>
            </w:pPr>
            <w:r>
              <w:rPr>
                <w:rFonts w:ascii="Arial" w:hAnsi="Arial" w:cs="Arial"/>
                <w:b/>
                <w:bCs/>
              </w:rPr>
              <w:t xml:space="preserve">Data reliability: </w:t>
            </w:r>
            <w:r>
              <w:rPr>
                <w:rFonts w:ascii="Arial" w:hAnsi="Arial" w:cs="Arial"/>
              </w:rPr>
              <w:t>The Boards/Commission maintains files and records for each examination application received.</w:t>
            </w: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rPr>
            </w:pP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Why we are using this measure:</w:t>
            </w:r>
            <w:r>
              <w:rPr>
                <w:rFonts w:ascii="Arial" w:hAnsi="Arial" w:cs="Arial"/>
                <w:color w:val="000000"/>
              </w:rPr>
              <w:t xml:space="preserve"> To assure the public persons admitted to practice meet minimum requirements.</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What was achieved: </w:t>
            </w:r>
            <w:r>
              <w:rPr>
                <w:rFonts w:ascii="Arial" w:hAnsi="Arial" w:cs="Arial"/>
                <w:color w:val="000000"/>
              </w:rPr>
              <w:t>The Di</w:t>
            </w:r>
            <w:r>
              <w:rPr>
                <w:rFonts w:ascii="Arial" w:hAnsi="Arial" w:cs="Arial"/>
                <w:color w:val="000000"/>
              </w:rPr>
              <w:t>vision has maintained the performance target.</w:t>
            </w:r>
          </w:p>
          <w:p w:rsidR="00000000" w:rsidRDefault="009C4FCF">
            <w:pPr>
              <w:rPr>
                <w:b/>
                <w:bCs/>
                <w:color w:val="000000"/>
              </w:rPr>
            </w:pP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Analysis of results: </w:t>
            </w:r>
            <w:r>
              <w:rPr>
                <w:rFonts w:ascii="Arial" w:hAnsi="Arial" w:cs="Arial"/>
                <w:color w:val="000000"/>
              </w:rPr>
              <w:t>The Division examined 99% of all qualified candidates.</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lastRenderedPageBreak/>
              <w:t xml:space="preserve">Factors affecting results: </w:t>
            </w:r>
            <w:r>
              <w:rPr>
                <w:rFonts w:ascii="Arial" w:hAnsi="Arial" w:cs="Arial"/>
                <w:color w:val="000000"/>
              </w:rPr>
              <w:t>None noted.</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125"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Resources used: </w:t>
            </w:r>
            <w:r>
              <w:rPr>
                <w:rFonts w:ascii="Arial" w:hAnsi="Arial" w:cs="Arial"/>
                <w:color w:val="000000"/>
              </w:rPr>
              <w:t xml:space="preserve">The Division is a self-supporting agency without the use of tax revenues </w:t>
            </w:r>
            <w:r>
              <w:rPr>
                <w:rFonts w:ascii="Arial" w:hAnsi="Arial" w:cs="Arial"/>
                <w:color w:val="000000"/>
              </w:rPr>
              <w:t>from the general fund. Funding for the Division comes from fees collected from the licensees regulated.</w:t>
            </w:r>
          </w:p>
        </w:tc>
      </w:tr>
    </w:tbl>
    <w:p w:rsidR="00000000" w:rsidRDefault="009C4FCF"/>
    <w:p w:rsidR="00000000" w:rsidRDefault="009C4FCF"/>
    <w:p w:rsidR="00000000" w:rsidRDefault="009C4FCF">
      <w:pPr>
        <w:jc w:val="center"/>
        <w:rPr>
          <w:rFonts w:ascii="Arial Black" w:hAnsi="Arial Black"/>
          <w:sz w:val="28"/>
          <w:szCs w:val="36"/>
        </w:rPr>
      </w:pPr>
      <w:r>
        <w:rPr>
          <w:rFonts w:ascii="Arial Black" w:hAnsi="Arial Black"/>
          <w:sz w:val="28"/>
          <w:szCs w:val="36"/>
        </w:rPr>
        <w:t>PERFORMANCE PLAN RESULTS</w:t>
      </w:r>
    </w:p>
    <w:p w:rsidR="00000000" w:rsidRDefault="009C4FCF">
      <w:pPr>
        <w:jc w:val="center"/>
        <w:rPr>
          <w:rFonts w:ascii="Arial Black" w:hAnsi="Arial Black"/>
          <w:sz w:val="36"/>
          <w:szCs w:val="36"/>
        </w:rPr>
      </w:pPr>
    </w:p>
    <w:p w:rsidR="00000000" w:rsidRDefault="009C4FCF">
      <w:pPr>
        <w:pStyle w:val="Heading2"/>
        <w:keepNext/>
        <w:jc w:val="center"/>
        <w:rPr>
          <w:b/>
          <w:bCs/>
        </w:rPr>
      </w:pPr>
      <w:r>
        <w:rPr>
          <w:b/>
          <w:bCs/>
        </w:rPr>
        <w:t>SERVICE/PRODUCT/ACTIVITY</w:t>
      </w:r>
    </w:p>
    <w:p w:rsidR="00000000" w:rsidRDefault="009C4FCF">
      <w:pPr>
        <w:jc w:val="both"/>
      </w:pPr>
    </w:p>
    <w:p w:rsidR="00000000" w:rsidRDefault="009C4FCF">
      <w:pPr>
        <w:jc w:val="both"/>
        <w:rPr>
          <w:rFonts w:ascii="Arial" w:hAnsi="Arial" w:cs="Arial"/>
        </w:rPr>
      </w:pPr>
      <w:r>
        <w:rPr>
          <w:rFonts w:ascii="Arial" w:hAnsi="Arial" w:cs="Arial"/>
          <w:b/>
          <w:bCs/>
        </w:rPr>
        <w:t xml:space="preserve">Name: </w:t>
      </w:r>
      <w:r>
        <w:rPr>
          <w:rFonts w:ascii="Arial" w:hAnsi="Arial" w:cs="Arial"/>
        </w:rPr>
        <w:t>Licensing</w:t>
      </w:r>
    </w:p>
    <w:p w:rsidR="00000000" w:rsidRDefault="009C4FCF">
      <w:pPr>
        <w:jc w:val="both"/>
        <w:rPr>
          <w:rFonts w:ascii="Arial" w:hAnsi="Arial" w:cs="Arial"/>
        </w:rPr>
      </w:pPr>
    </w:p>
    <w:p w:rsidR="00000000" w:rsidRDefault="009C4FCF">
      <w:pPr>
        <w:jc w:val="both"/>
        <w:rPr>
          <w:rFonts w:ascii="Arial" w:hAnsi="Arial" w:cs="Arial"/>
        </w:rPr>
      </w:pPr>
    </w:p>
    <w:p w:rsidR="00000000" w:rsidRDefault="009C4FCF">
      <w:pPr>
        <w:jc w:val="both"/>
        <w:rPr>
          <w:rFonts w:ascii="Arial" w:hAnsi="Arial" w:cs="Arial"/>
          <w:b/>
          <w:bCs/>
        </w:rPr>
      </w:pPr>
      <w:r>
        <w:rPr>
          <w:rFonts w:ascii="Arial" w:hAnsi="Arial" w:cs="Arial"/>
          <w:b/>
          <w:bCs/>
        </w:rPr>
        <w:t xml:space="preserve">Description: </w:t>
      </w:r>
      <w:r>
        <w:rPr>
          <w:rFonts w:ascii="Arial" w:hAnsi="Arial" w:cs="Arial"/>
        </w:rPr>
        <w:t>The Professional Licensing and Regulation Division issues certific</w:t>
      </w:r>
      <w:r>
        <w:rPr>
          <w:rFonts w:ascii="Arial" w:hAnsi="Arial" w:cs="Arial"/>
        </w:rPr>
        <w:t>ates, licenses and permits for six professions.</w:t>
      </w:r>
    </w:p>
    <w:p w:rsidR="00000000" w:rsidRDefault="009C4FCF">
      <w:pPr>
        <w:jc w:val="both"/>
        <w:rPr>
          <w:rFonts w:ascii="Arial" w:hAnsi="Arial" w:cs="Arial"/>
        </w:rPr>
      </w:pPr>
    </w:p>
    <w:p w:rsidR="00000000" w:rsidRDefault="009C4FCF">
      <w:pPr>
        <w:jc w:val="both"/>
        <w:rPr>
          <w:rFonts w:ascii="Arial" w:hAnsi="Arial" w:cs="Arial"/>
        </w:rPr>
      </w:pPr>
      <w:r>
        <w:rPr>
          <w:rFonts w:ascii="Arial" w:hAnsi="Arial" w:cs="Arial"/>
          <w:b/>
          <w:bCs/>
        </w:rPr>
        <w:t>Why we are doing this:</w:t>
      </w:r>
      <w:r>
        <w:rPr>
          <w:rFonts w:ascii="Arial" w:hAnsi="Arial" w:cs="Arial"/>
        </w:rPr>
        <w:t xml:space="preserve"> To assure the public persons admitted to practice is qualified and maintain certain acceptable standards.</w:t>
      </w:r>
    </w:p>
    <w:p w:rsidR="00000000" w:rsidRDefault="009C4FCF">
      <w:pPr>
        <w:jc w:val="both"/>
        <w:rPr>
          <w:rFonts w:ascii="Arial" w:hAnsi="Arial" w:cs="Arial"/>
        </w:rPr>
      </w:pPr>
      <w:r>
        <w:rPr>
          <w:rFonts w:ascii="Arial" w:hAnsi="Arial" w:cs="Arial"/>
        </w:rPr>
        <w:br/>
      </w:r>
      <w:r>
        <w:rPr>
          <w:rFonts w:ascii="Arial" w:hAnsi="Arial" w:cs="Arial"/>
          <w:b/>
          <w:bCs/>
        </w:rPr>
        <w:t xml:space="preserve">What we're doing to achieve results: </w:t>
      </w:r>
      <w:r>
        <w:rPr>
          <w:rFonts w:ascii="Arial" w:hAnsi="Arial" w:cs="Arial"/>
        </w:rPr>
        <w:t>The Division is improving and streamlini</w:t>
      </w:r>
      <w:r>
        <w:rPr>
          <w:rFonts w:ascii="Arial" w:hAnsi="Arial" w:cs="Arial"/>
        </w:rPr>
        <w:t>ng the application process for each profession.</w:t>
      </w:r>
    </w:p>
    <w:p w:rsidR="00000000" w:rsidRDefault="009C4FCF">
      <w:pPr>
        <w:jc w:val="both"/>
        <w:rPr>
          <w:rFonts w:ascii="Arial" w:hAnsi="Arial" w:cs="Arial"/>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Measure</w:t>
      </w:r>
      <w:r>
        <w:rPr>
          <w:rFonts w:ascii="Arial" w:hAnsi="Arial" w:cs="Arial"/>
          <w:i/>
          <w:iCs/>
          <w:color w:val="000000"/>
        </w:rPr>
        <w:t>:</w:t>
      </w:r>
      <w:r>
        <w:rPr>
          <w:rFonts w:ascii="Arial" w:hAnsi="Arial" w:cs="Arial"/>
          <w:color w:val="000000"/>
        </w:rPr>
        <w:br/>
        <w:t>To quickly and efficiently process renewals.</w:t>
      </w:r>
    </w:p>
    <w:p w:rsidR="00000000" w:rsidRDefault="009C4FCF">
      <w:pPr>
        <w:spacing w:line="320" w:lineRule="atLeast"/>
        <w:ind w:left="220"/>
        <w:rPr>
          <w:rFonts w:ascii="Arial" w:hAnsi="Arial" w:cs="Arial"/>
          <w:color w:val="000000"/>
        </w:rPr>
      </w:pPr>
    </w:p>
    <w:p w:rsidR="00000000" w:rsidRDefault="009C4FCF">
      <w:pPr>
        <w:spacing w:line="320" w:lineRule="atLeast"/>
        <w:ind w:left="220"/>
        <w:rPr>
          <w:rFonts w:ascii="Arial" w:hAnsi="Arial" w:cs="Arial"/>
          <w:color w:val="000000"/>
        </w:rPr>
      </w:pPr>
      <w:r>
        <w:rPr>
          <w:rFonts w:ascii="Arial" w:hAnsi="Arial" w:cs="Arial"/>
          <w:b/>
          <w:bCs/>
          <w:i/>
          <w:iCs/>
          <w:color w:val="000000"/>
        </w:rPr>
        <w:t>Performance Target</w:t>
      </w:r>
      <w:r>
        <w:rPr>
          <w:rFonts w:ascii="Arial" w:hAnsi="Arial" w:cs="Arial"/>
          <w:i/>
          <w:iCs/>
          <w:color w:val="000000"/>
        </w:rPr>
        <w:t xml:space="preserve">: </w:t>
      </w:r>
      <w:r>
        <w:rPr>
          <w:rFonts w:ascii="Arial" w:hAnsi="Arial" w:cs="Arial"/>
          <w:color w:val="000000"/>
        </w:rPr>
        <w:t>Targets are to process 95% of</w:t>
      </w:r>
    </w:p>
    <w:p w:rsidR="00000000" w:rsidRDefault="009C4FCF">
      <w:pPr>
        <w:spacing w:line="320" w:lineRule="atLeast"/>
        <w:ind w:left="220"/>
        <w:rPr>
          <w:rFonts w:ascii="Arial" w:hAnsi="Arial" w:cs="Arial"/>
          <w:color w:val="000000"/>
        </w:rPr>
      </w:pPr>
      <w:r>
        <w:rPr>
          <w:rFonts w:ascii="Arial" w:hAnsi="Arial" w:cs="Arial"/>
          <w:color w:val="000000"/>
        </w:rPr>
        <w:t>all completed renewals within five working days</w:t>
      </w:r>
      <w:r>
        <w:rPr>
          <w:rFonts w:ascii="Arial" w:hAnsi="Arial" w:cs="Arial"/>
          <w:b/>
          <w:bCs/>
          <w:i/>
          <w:iCs/>
          <w:color w:val="000000"/>
        </w:rPr>
        <w:t>.</w:t>
      </w:r>
    </w:p>
    <w:p w:rsidR="00000000" w:rsidRDefault="009C4FCF">
      <w:pPr>
        <w:spacing w:line="320" w:lineRule="atLeast"/>
        <w:ind w:left="220"/>
        <w:rPr>
          <w:rFonts w:ascii="Arial" w:hAnsi="Arial" w:cs="Arial"/>
          <w:i/>
          <w:iCs/>
          <w:color w:val="000000"/>
        </w:rPr>
      </w:pPr>
    </w:p>
    <w:p w:rsidR="00000000" w:rsidRDefault="009C4FCF">
      <w:pPr>
        <w:jc w:val="both"/>
        <w:rPr>
          <w:rFonts w:ascii="Arial" w:hAnsi="Arial" w:cs="Arial"/>
          <w:color w:val="000000"/>
          <w:sz w:val="22"/>
          <w:szCs w:val="22"/>
        </w:rPr>
      </w:pPr>
      <w:r>
        <w:rPr>
          <w:rFonts w:ascii="Arial" w:hAnsi="Arial" w:cs="Arial"/>
          <w:b/>
          <w:bCs/>
          <w:i/>
          <w:iCs/>
          <w:color w:val="000000"/>
        </w:rPr>
        <w:t xml:space="preserve"> Data Sources</w:t>
      </w:r>
      <w:r>
        <w:rPr>
          <w:rFonts w:ascii="Arial" w:hAnsi="Arial" w:cs="Arial"/>
          <w:i/>
          <w:iCs/>
          <w:color w:val="000000"/>
        </w:rPr>
        <w:t>: Date stamped</w:t>
      </w:r>
      <w:r>
        <w:rPr>
          <w:rFonts w:ascii="Arial" w:hAnsi="Arial" w:cs="Arial"/>
          <w:i/>
          <w:iCs/>
          <w:color w:val="000000"/>
          <w:sz w:val="22"/>
          <w:szCs w:val="22"/>
        </w:rPr>
        <w:t xml:space="preserve"> </w:t>
      </w:r>
      <w:r>
        <w:rPr>
          <w:rFonts w:ascii="Arial" w:hAnsi="Arial" w:cs="Arial"/>
          <w:color w:val="000000"/>
          <w:sz w:val="22"/>
          <w:szCs w:val="22"/>
        </w:rPr>
        <w:t>renewal form</w:t>
      </w:r>
      <w:r>
        <w:rPr>
          <w:rFonts w:ascii="Arial" w:hAnsi="Arial" w:cs="Arial"/>
          <w:color w:val="000000"/>
          <w:sz w:val="22"/>
          <w:szCs w:val="22"/>
        </w:rPr>
        <w:t>s are maintained by each profession.</w:t>
      </w:r>
    </w:p>
    <w:p w:rsidR="00000000" w:rsidRDefault="009C4FCF">
      <w:pPr>
        <w:jc w:val="both"/>
        <w:rPr>
          <w:color w:val="000000"/>
          <w:sz w:val="22"/>
          <w:szCs w:val="22"/>
        </w:rPr>
      </w:pPr>
    </w:p>
    <w:tbl>
      <w:tblPr>
        <w:tblW w:w="10200" w:type="dxa"/>
        <w:tblInd w:w="-300" w:type="dxa"/>
        <w:tblLayout w:type="fixed"/>
        <w:tblCellMar>
          <w:left w:w="0" w:type="dxa"/>
          <w:right w:w="0" w:type="dxa"/>
        </w:tblCellMar>
        <w:tblLook w:val="0000"/>
      </w:tblPr>
      <w:tblGrid>
        <w:gridCol w:w="10200"/>
      </w:tblGrid>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rPr>
            </w:pPr>
            <w:r>
              <w:rPr>
                <w:rFonts w:ascii="Arial" w:hAnsi="Arial" w:cs="Arial"/>
                <w:b/>
                <w:bCs/>
              </w:rPr>
              <w:t xml:space="preserve">Data reliability: </w:t>
            </w:r>
            <w:r>
              <w:rPr>
                <w:rFonts w:ascii="Arial" w:hAnsi="Arial" w:cs="Arial"/>
              </w:rPr>
              <w:t>The Division maintains files and records for each renewal application received.</w:t>
            </w: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rPr>
            </w:pP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Why we are using this measure:</w:t>
            </w:r>
            <w:r>
              <w:rPr>
                <w:rFonts w:ascii="Arial" w:hAnsi="Arial" w:cs="Arial"/>
                <w:color w:val="000000"/>
              </w:rPr>
              <w:t xml:space="preserve"> To assure the public those persons admitted to practice are qualified and that they ma</w:t>
            </w:r>
            <w:r>
              <w:rPr>
                <w:rFonts w:ascii="Arial" w:hAnsi="Arial" w:cs="Arial"/>
                <w:color w:val="000000"/>
              </w:rPr>
              <w:t>intain acceptable standards of practice.</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t xml:space="preserve">What was achieved: </w:t>
            </w:r>
            <w:r>
              <w:rPr>
                <w:rFonts w:ascii="Arial" w:hAnsi="Arial" w:cs="Arial"/>
                <w:color w:val="000000"/>
              </w:rPr>
              <w:t>The Division has maintained the performance target.</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b/>
                <w:bCs/>
                <w:color w:val="000000"/>
              </w:rPr>
            </w:pPr>
            <w:r>
              <w:rPr>
                <w:rFonts w:ascii="Arial" w:hAnsi="Arial" w:cs="Arial"/>
                <w:b/>
                <w:bCs/>
                <w:color w:val="000000"/>
              </w:rPr>
              <w:t xml:space="preserve">Analysis of results: </w:t>
            </w:r>
            <w:r>
              <w:rPr>
                <w:rFonts w:ascii="Arial" w:hAnsi="Arial" w:cs="Arial"/>
                <w:color w:val="000000"/>
              </w:rPr>
              <w:t>The Division processed 95% of all completed renewals within five working days</w:t>
            </w:r>
          </w:p>
          <w:p w:rsidR="00000000" w:rsidRDefault="009C4FCF">
            <w:pPr>
              <w:rPr>
                <w:rFonts w:ascii="Arial" w:hAnsi="Arial" w:cs="Arial"/>
                <w:b/>
                <w:bCs/>
                <w:color w:val="000000"/>
              </w:rPr>
            </w:pP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color w:val="000000"/>
              </w:rPr>
            </w:pPr>
            <w:r>
              <w:rPr>
                <w:rFonts w:ascii="Arial" w:hAnsi="Arial" w:cs="Arial"/>
                <w:b/>
                <w:bCs/>
                <w:color w:val="000000"/>
              </w:rPr>
              <w:t xml:space="preserve">Factors affecting results: </w:t>
            </w:r>
            <w:r>
              <w:rPr>
                <w:rFonts w:ascii="Arial" w:hAnsi="Arial" w:cs="Arial"/>
                <w:color w:val="000000"/>
              </w:rPr>
              <w:t>None noted.</w:t>
            </w:r>
          </w:p>
          <w:p w:rsidR="00000000" w:rsidRDefault="009C4FCF">
            <w:pPr>
              <w:rPr>
                <w:b/>
                <w:bCs/>
                <w:color w:val="000000"/>
              </w:rPr>
            </w:pPr>
          </w:p>
        </w:tc>
      </w:tr>
      <w:tr w:rsidR="00000000">
        <w:tblPrEx>
          <w:tblCellMar>
            <w:top w:w="0" w:type="dxa"/>
            <w:left w:w="0" w:type="dxa"/>
            <w:bottom w:w="0" w:type="dxa"/>
            <w:right w:w="0" w:type="dxa"/>
          </w:tblCellMar>
        </w:tblPrEx>
        <w:tc>
          <w:tcPr>
            <w:tcW w:w="10200" w:type="dxa"/>
            <w:tcBorders>
              <w:top w:val="nil"/>
              <w:left w:val="nil"/>
              <w:bottom w:val="nil"/>
              <w:right w:val="nil"/>
            </w:tcBorders>
          </w:tcPr>
          <w:p w:rsidR="00000000" w:rsidRDefault="009C4FCF">
            <w:pPr>
              <w:rPr>
                <w:rFonts w:ascii="Arial" w:hAnsi="Arial" w:cs="Arial"/>
                <w:color w:val="000000"/>
              </w:rPr>
            </w:pPr>
            <w:r>
              <w:rPr>
                <w:rFonts w:ascii="Arial" w:hAnsi="Arial" w:cs="Arial"/>
                <w:b/>
                <w:bCs/>
                <w:color w:val="000000"/>
              </w:rPr>
              <w:lastRenderedPageBreak/>
              <w:t xml:space="preserve">Resources used: </w:t>
            </w:r>
            <w:r>
              <w:rPr>
                <w:rFonts w:ascii="Arial" w:hAnsi="Arial" w:cs="Arial"/>
                <w:color w:val="000000"/>
              </w:rPr>
              <w:t>The Division is a self-supporting agency without the use of tax revenues from the general fund. Funding for the Division comes from fees collected from the licensees regulated.</w:t>
            </w:r>
          </w:p>
          <w:p w:rsidR="00000000" w:rsidRDefault="009C4FCF">
            <w:pPr>
              <w:rPr>
                <w:rFonts w:ascii="Arial" w:hAnsi="Arial" w:cs="Arial"/>
                <w:color w:val="000000"/>
              </w:rPr>
            </w:pPr>
          </w:p>
          <w:p w:rsidR="00000000" w:rsidRDefault="009C4FCF">
            <w:pPr>
              <w:rPr>
                <w:rFonts w:ascii="Arial" w:hAnsi="Arial" w:cs="Arial"/>
                <w:color w:val="000000"/>
              </w:rPr>
            </w:pPr>
          </w:p>
          <w:p w:rsidR="00000000" w:rsidRDefault="009C4FCF">
            <w:pPr>
              <w:rPr>
                <w:rFonts w:ascii="Arial" w:hAnsi="Arial" w:cs="Arial"/>
                <w:color w:val="000000"/>
              </w:rPr>
            </w:pPr>
          </w:p>
          <w:p w:rsidR="00000000" w:rsidRDefault="009C4FCF">
            <w:pPr>
              <w:pStyle w:val="Heading4"/>
              <w:rPr>
                <w:rFonts w:ascii="Arial Black" w:hAnsi="Arial Black"/>
                <w:b/>
                <w:sz w:val="24"/>
              </w:rPr>
            </w:pPr>
            <w:r>
              <w:rPr>
                <w:rFonts w:ascii="Arial Black" w:hAnsi="Arial Black"/>
                <w:sz w:val="24"/>
              </w:rPr>
              <w:t>RESOURCE ALLOCATIONS</w:t>
            </w:r>
          </w:p>
          <w:p w:rsidR="00000000" w:rsidRDefault="009C4FCF">
            <w:pPr>
              <w:jc w:val="both"/>
              <w:rPr>
                <w:rFonts w:ascii="Arial" w:hAnsi="Arial" w:cs="Arial"/>
                <w:bCs/>
              </w:rPr>
            </w:pPr>
          </w:p>
          <w:p w:rsidR="00000000" w:rsidRDefault="009C4FCF">
            <w:pPr>
              <w:jc w:val="both"/>
              <w:rPr>
                <w:rFonts w:ascii="Arial" w:hAnsi="Arial" w:cs="Arial"/>
                <w:bCs/>
              </w:rPr>
            </w:pPr>
            <w:r>
              <w:rPr>
                <w:rFonts w:ascii="Arial" w:hAnsi="Arial" w:cs="Arial"/>
                <w:bCs/>
              </w:rPr>
              <w:t>The Professional Licensing and Regul</w:t>
            </w:r>
            <w:r>
              <w:rPr>
                <w:rFonts w:ascii="Arial" w:hAnsi="Arial" w:cs="Arial"/>
                <w:bCs/>
              </w:rPr>
              <w:t xml:space="preserve">ation Division in FY04 had eleven (11) FTEs </w:t>
            </w:r>
          </w:p>
          <w:p w:rsidR="00000000" w:rsidRDefault="009C4FCF">
            <w:pPr>
              <w:jc w:val="both"/>
              <w:rPr>
                <w:rFonts w:ascii="Arial" w:hAnsi="Arial" w:cs="Arial"/>
                <w:bCs/>
              </w:rPr>
            </w:pPr>
          </w:p>
          <w:p w:rsidR="00000000" w:rsidRDefault="009C4FCF">
            <w:pPr>
              <w:jc w:val="both"/>
              <w:rPr>
                <w:rFonts w:ascii="Arial" w:hAnsi="Arial" w:cs="Arial"/>
                <w:bCs/>
              </w:rPr>
            </w:pPr>
            <w:r>
              <w:rPr>
                <w:rFonts w:ascii="Arial" w:hAnsi="Arial" w:cs="Arial"/>
                <w:bCs/>
              </w:rPr>
              <w:t>and forty-one (41) Board and Commission members.</w:t>
            </w:r>
          </w:p>
          <w:p w:rsidR="00000000" w:rsidRDefault="009C4FCF">
            <w:pPr>
              <w:jc w:val="both"/>
              <w:rPr>
                <w:rFonts w:ascii="Arial" w:hAnsi="Arial" w:cs="Arial"/>
                <w:bCs/>
              </w:rPr>
            </w:pPr>
          </w:p>
          <w:p w:rsidR="00000000" w:rsidRDefault="009C4FCF">
            <w:pPr>
              <w:jc w:val="both"/>
              <w:rPr>
                <w:rFonts w:ascii="Arial" w:hAnsi="Arial" w:cs="Arial"/>
                <w:bCs/>
              </w:rPr>
            </w:pPr>
            <w:r>
              <w:rPr>
                <w:rFonts w:ascii="Arial" w:hAnsi="Arial" w:cs="Arial"/>
                <w:bCs/>
              </w:rPr>
              <w:t xml:space="preserve"> The Division generated $1,514,511 in revenues. The Division had expenditures</w:t>
            </w:r>
          </w:p>
          <w:p w:rsidR="00000000" w:rsidRDefault="009C4FCF">
            <w:pPr>
              <w:jc w:val="both"/>
              <w:rPr>
                <w:rFonts w:ascii="Arial" w:hAnsi="Arial" w:cs="Arial"/>
                <w:bCs/>
              </w:rPr>
            </w:pPr>
          </w:p>
          <w:p w:rsidR="00000000" w:rsidRDefault="009C4FCF">
            <w:pPr>
              <w:jc w:val="both"/>
              <w:rPr>
                <w:rFonts w:ascii="Arial" w:hAnsi="Arial" w:cs="Arial"/>
                <w:bCs/>
              </w:rPr>
            </w:pPr>
            <w:r>
              <w:rPr>
                <w:rFonts w:ascii="Arial" w:hAnsi="Arial" w:cs="Arial"/>
                <w:bCs/>
              </w:rPr>
              <w:t xml:space="preserve">  totaling $1,036,782. The Division contributed $477,729 to the General fund.  </w:t>
            </w:r>
          </w:p>
          <w:p w:rsidR="00000000" w:rsidRDefault="009C4FCF">
            <w:pPr>
              <w:jc w:val="both"/>
              <w:rPr>
                <w:rFonts w:ascii="Arial" w:hAnsi="Arial" w:cs="Arial"/>
                <w:bCs/>
              </w:rPr>
            </w:pPr>
          </w:p>
          <w:p w:rsidR="00000000" w:rsidRDefault="009C4FCF">
            <w:pPr>
              <w:jc w:val="both"/>
              <w:rPr>
                <w:rFonts w:ascii="Arial" w:hAnsi="Arial" w:cs="Arial"/>
                <w:bCs/>
              </w:rPr>
            </w:pPr>
          </w:p>
          <w:p w:rsidR="00000000" w:rsidRDefault="009C4FCF">
            <w:pPr>
              <w:jc w:val="both"/>
              <w:rPr>
                <w:rFonts w:ascii="Arial Black" w:hAnsi="Arial Black" w:cs="Arial"/>
              </w:rPr>
            </w:pPr>
            <w:r>
              <w:rPr>
                <w:rFonts w:ascii="Arial Black" w:hAnsi="Arial Black" w:cs="Arial"/>
              </w:rPr>
              <w:t>AGENCY CONTACTS</w:t>
            </w:r>
          </w:p>
          <w:p w:rsidR="00000000" w:rsidRDefault="009C4FCF">
            <w:pPr>
              <w:jc w:val="both"/>
              <w:rPr>
                <w:rFonts w:ascii="Arial" w:hAnsi="Arial" w:cs="Arial"/>
                <w:sz w:val="36"/>
              </w:rPr>
            </w:pPr>
          </w:p>
          <w:p w:rsidR="00000000" w:rsidRDefault="009C4FCF">
            <w:pPr>
              <w:jc w:val="both"/>
              <w:rPr>
                <w:rFonts w:ascii="Arial" w:hAnsi="Arial" w:cs="Arial"/>
              </w:rPr>
            </w:pPr>
            <w:r>
              <w:rPr>
                <w:rFonts w:ascii="Arial" w:hAnsi="Arial" w:cs="Arial"/>
              </w:rPr>
              <w:t>Professional Licensing and Regulation Division</w:t>
            </w:r>
          </w:p>
          <w:p w:rsidR="00000000" w:rsidRDefault="009C4FCF">
            <w:pPr>
              <w:jc w:val="both"/>
              <w:rPr>
                <w:rFonts w:ascii="Arial" w:hAnsi="Arial" w:cs="Arial"/>
              </w:rPr>
            </w:pPr>
            <w:r>
              <w:rPr>
                <w:rFonts w:ascii="Arial" w:hAnsi="Arial" w:cs="Arial"/>
              </w:rPr>
              <w:t>1920 SE Hulsizer</w:t>
            </w:r>
          </w:p>
          <w:p w:rsidR="00000000" w:rsidRDefault="009C4FCF">
            <w:pPr>
              <w:jc w:val="both"/>
              <w:rPr>
                <w:rFonts w:ascii="Arial" w:hAnsi="Arial" w:cs="Arial"/>
              </w:rPr>
            </w:pPr>
            <w:r>
              <w:rPr>
                <w:rFonts w:ascii="Arial" w:hAnsi="Arial" w:cs="Arial"/>
              </w:rPr>
              <w:t>Ankeny, Iowa 50021</w:t>
            </w:r>
          </w:p>
          <w:p w:rsidR="00000000" w:rsidRDefault="009C4FCF">
            <w:pPr>
              <w:jc w:val="both"/>
              <w:rPr>
                <w:rFonts w:ascii="Arial" w:hAnsi="Arial" w:cs="Arial"/>
              </w:rPr>
            </w:pPr>
            <w:r>
              <w:rPr>
                <w:rFonts w:ascii="Arial" w:hAnsi="Arial" w:cs="Arial"/>
              </w:rPr>
              <w:t>515-281-5910</w:t>
            </w:r>
          </w:p>
          <w:p w:rsidR="00000000" w:rsidRDefault="009C4FCF">
            <w:pPr>
              <w:jc w:val="both"/>
              <w:rPr>
                <w:rFonts w:ascii="Arial" w:hAnsi="Arial" w:cs="Arial"/>
              </w:rPr>
            </w:pPr>
            <w:r>
              <w:rPr>
                <w:rFonts w:ascii="Arial" w:hAnsi="Arial" w:cs="Arial"/>
              </w:rPr>
              <w:t>Fax 515-281-7411</w:t>
            </w:r>
          </w:p>
          <w:p w:rsidR="00000000" w:rsidRDefault="009C4FCF">
            <w:pPr>
              <w:jc w:val="both"/>
              <w:rPr>
                <w:rFonts w:ascii="Times New Roman" w:hAnsi="Times New Roman" w:cs="Times New Roman"/>
                <w:sz w:val="36"/>
              </w:rPr>
            </w:pPr>
            <w:r>
              <w:rPr>
                <w:rFonts w:ascii="Arial" w:hAnsi="Arial" w:cs="Arial"/>
              </w:rPr>
              <w:t>Web page:</w:t>
            </w:r>
            <w:r>
              <w:rPr>
                <w:rFonts w:ascii="Times New Roman" w:hAnsi="Times New Roman" w:cs="Times New Roman"/>
                <w:sz w:val="36"/>
              </w:rPr>
              <w:t xml:space="preserve"> </w:t>
            </w:r>
            <w:hyperlink r:id="rId4" w:history="1">
              <w:r>
                <w:rPr>
                  <w:rStyle w:val="Hyperlink"/>
                </w:rPr>
                <w:t>http://www.state.ia.us/government/com/prof/hom</w:t>
              </w:r>
              <w:r>
                <w:rPr>
                  <w:rStyle w:val="Hyperlink"/>
                </w:rPr>
                <w:t>e.html</w:t>
              </w:r>
            </w:hyperlink>
          </w:p>
          <w:p w:rsidR="00000000" w:rsidRDefault="009C4FCF">
            <w:pPr>
              <w:jc w:val="both"/>
              <w:rPr>
                <w:rFonts w:ascii="Arial" w:hAnsi="Arial" w:cs="Arial"/>
                <w:bCs/>
              </w:rPr>
            </w:pPr>
          </w:p>
          <w:p w:rsidR="00000000" w:rsidRDefault="009C4FCF">
            <w:pPr>
              <w:rPr>
                <w:color w:val="000000"/>
              </w:rPr>
            </w:pPr>
          </w:p>
          <w:p w:rsidR="00000000" w:rsidRDefault="009C4FCF">
            <w:pPr>
              <w:rPr>
                <w:color w:val="000000"/>
              </w:rPr>
            </w:pPr>
          </w:p>
          <w:p w:rsidR="00000000" w:rsidRDefault="009C4FCF">
            <w:pPr>
              <w:rPr>
                <w:color w:val="000000"/>
              </w:rPr>
            </w:pPr>
          </w:p>
          <w:p w:rsidR="00000000" w:rsidRDefault="009C4FCF">
            <w:pPr>
              <w:rPr>
                <w:color w:val="000000"/>
              </w:rPr>
            </w:pPr>
          </w:p>
        </w:tc>
      </w:tr>
    </w:tbl>
    <w:p w:rsidR="00000000" w:rsidRDefault="009C4FCF"/>
    <w:sectPr w:rsidR="00000000">
      <w:pgSz w:w="12240" w:h="15840"/>
      <w:pgMar w:top="1440" w:right="1440" w:bottom="1440" w:left="1440" w:header="720" w:footer="720" w:gutter="0"/>
      <w:cols w:space="720"/>
      <w:docGrid w:linePitch="20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75"/>
  <w:drawingGridVerticalSpacing w:val="102"/>
  <w:displayHorizontalDrawingGridEvery w:val="0"/>
  <w:displayVerticalDrawingGridEvery w:val="2"/>
  <w:noPunctuationKerning/>
  <w:characterSpacingControl w:val="doNotCompress"/>
  <w:compat/>
  <w:rsids>
    <w:rsidRoot w:val="009C4FCF"/>
    <w:rsid w:val="009C4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cs="Courier New"/>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widowControl w:val="0"/>
      <w:autoSpaceDE w:val="0"/>
      <w:autoSpaceDN w:val="0"/>
      <w:adjustRightInd w:val="0"/>
      <w:outlineLvl w:val="1"/>
    </w:pPr>
    <w:rPr>
      <w:rFonts w:ascii="Arial" w:hAnsi="Arial" w:cs="Arial"/>
    </w:rPr>
  </w:style>
  <w:style w:type="paragraph" w:styleId="Heading3">
    <w:name w:val="heading 3"/>
    <w:basedOn w:val="Normal"/>
    <w:next w:val="Normal"/>
    <w:qFormat/>
    <w:pPr>
      <w:keepNext/>
      <w:jc w:val="center"/>
      <w:outlineLvl w:val="2"/>
    </w:pPr>
    <w:rPr>
      <w:rFonts w:ascii="Arial Black" w:hAnsi="Arial Black"/>
      <w:sz w:val="36"/>
      <w:szCs w:val="36"/>
    </w:rPr>
  </w:style>
  <w:style w:type="paragraph" w:styleId="Heading4">
    <w:name w:val="heading 4"/>
    <w:basedOn w:val="Normal"/>
    <w:next w:val="Normal"/>
    <w:qFormat/>
    <w:pPr>
      <w:keepNext/>
      <w:outlineLvl w:val="3"/>
    </w:pPr>
    <w:rPr>
      <w:rFonts w:ascii="Arial" w:hAnsi="Arial" w:cs="Arial"/>
      <w:sz w:val="36"/>
    </w:rPr>
  </w:style>
  <w:style w:type="paragraph" w:styleId="Heading5">
    <w:name w:val="heading 5"/>
    <w:basedOn w:val="Normal"/>
    <w:next w:val="Normal"/>
    <w:qFormat/>
    <w:pPr>
      <w:keepNext/>
      <w:jc w:val="center"/>
      <w:outlineLvl w:val="4"/>
    </w:pPr>
    <w:rPr>
      <w:rFonts w:ascii="Arial" w:hAnsi="Arial"/>
      <w:b/>
      <w:sz w:val="28"/>
    </w:rPr>
  </w:style>
  <w:style w:type="paragraph" w:styleId="Heading6">
    <w:name w:val="heading 6"/>
    <w:basedOn w:val="Normal"/>
    <w:next w:val="Normal"/>
    <w:qFormat/>
    <w:pPr>
      <w:keepNext/>
      <w:jc w:val="center"/>
      <w:outlineLvl w:val="5"/>
    </w:pPr>
    <w:rPr>
      <w:rFonts w:ascii="Arial Black" w:hAnsi="Arial Black"/>
      <w:sz w:val="28"/>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rPr>
      <w:rFonts w:ascii="Times New Roman" w:hAnsi="Times New Roman" w:cs="Times New Roman"/>
      <w:szCs w:val="20"/>
    </w:rPr>
  </w:style>
  <w:style w:type="character" w:styleId="Hyperlink">
    <w:name w:val="Hyperlink"/>
    <w:basedOn w:val="DefaultParagraphFont"/>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te.ia.us/government/com/prof/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Iowa Department of Commerce</vt:lpstr>
    </vt:vector>
  </TitlesOfParts>
  <Company>Iowa Department of Commerce</Company>
  <LinksUpToDate>false</LinksUpToDate>
  <CharactersWithSpaces>8191</CharactersWithSpaces>
  <SharedDoc>false</SharedDoc>
  <HLinks>
    <vt:vector size="6" baseType="variant">
      <vt:variant>
        <vt:i4>4194305</vt:i4>
      </vt:variant>
      <vt:variant>
        <vt:i4>0</vt:i4>
      </vt:variant>
      <vt:variant>
        <vt:i4>0</vt:i4>
      </vt:variant>
      <vt:variant>
        <vt:i4>5</vt:i4>
      </vt:variant>
      <vt:variant>
        <vt:lpwstr>http://www.state.ia.us/government/com/prof/home.html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Department of Commerce</dc:title>
  <dc:subject/>
  <dc:creator>Professional Licensing</dc:creator>
  <cp:keywords/>
  <dc:description/>
  <cp:lastModifiedBy>Margaret Noon</cp:lastModifiedBy>
  <cp:revision>2</cp:revision>
  <dcterms:created xsi:type="dcterms:W3CDTF">2008-12-01T21:21:00Z</dcterms:created>
  <dcterms:modified xsi:type="dcterms:W3CDTF">2008-12-01T21:21:00Z</dcterms:modified>
</cp:coreProperties>
</file>