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B0" w:rsidRDefault="00723D6A">
      <w:pPr>
        <w:pStyle w:val="BodyText"/>
      </w:pPr>
      <w:r>
        <w:t xml:space="preserve">Activities/Services </w:t>
      </w:r>
    </w:p>
    <w:p w:rsidR="005762B0" w:rsidRDefault="00723D6A">
      <w:pPr>
        <w:pStyle w:val="BodyText"/>
      </w:pPr>
      <w:r>
        <w:t xml:space="preserve">for </w:t>
      </w:r>
    </w:p>
    <w:p w:rsidR="005762B0" w:rsidRDefault="00723D6A">
      <w:pPr>
        <w:pStyle w:val="BodyText"/>
      </w:pPr>
      <w:r>
        <w:t>Effective Transition for Henry County Youth with Disabilities</w:t>
      </w:r>
    </w:p>
    <w:p w:rsidR="005762B0" w:rsidRDefault="00723D6A"/>
    <w:p w:rsidR="005762B0" w:rsidRDefault="00723D6A">
      <w:pPr>
        <w:jc w:val="both"/>
      </w:pPr>
      <w:r>
        <w:t>This Transition Guide represents work conducted through a project funded by the DOL to improve transition outcomes for youth with disabilities.  This Guide is intended</w:t>
      </w:r>
      <w:r>
        <w:t xml:space="preserve"> to address a wide range of needs experienced by youth with disabilities during their high school career.  Probably no one student will need all of the activities or services as described.  They are however, provided as state-of-the art transitional activi</w:t>
      </w:r>
      <w:r>
        <w:t>ties that can be beneficial for a majority of students with disabilities as they prepare for and enter into the adult world.</w:t>
      </w:r>
    </w:p>
    <w:p w:rsidR="005762B0" w:rsidRDefault="00723D6A">
      <w:pPr>
        <w:jc w:val="both"/>
      </w:pPr>
    </w:p>
    <w:p w:rsidR="005762B0" w:rsidRDefault="00723D6A">
      <w:pPr>
        <w:jc w:val="both"/>
      </w:pPr>
      <w:r>
        <w:t>The activities and services are specific to Henry County.  For example, the STEP program of Southeast Community College (SCC) is n</w:t>
      </w:r>
      <w:r>
        <w:t>ot offered in other community colleges in Iowa.  While some may have similar services, STEP is specific to SCC in Burlington.</w:t>
      </w:r>
    </w:p>
    <w:p w:rsidR="005762B0" w:rsidRDefault="00723D6A">
      <w:pPr>
        <w:jc w:val="both"/>
      </w:pPr>
    </w:p>
    <w:p w:rsidR="005762B0" w:rsidRDefault="00723D6A">
      <w:pPr>
        <w:pStyle w:val="BodyText2"/>
      </w:pPr>
      <w:r>
        <w:t>Parties responsible for providing the various services or activities were intentionally omitted.  While this Guide was written fo</w:t>
      </w:r>
      <w:r>
        <w:t xml:space="preserve">r teachers, it does not assume that the teacher is the only person/position responsible for conducting these activities.  It makes sense to leave that decision to the IEP team and those most familiar to the student.  In some cases the parent will take the </w:t>
      </w:r>
      <w:r>
        <w:t>lead in ensuring that certain activities are completed, in others it may be AEA staff.  Quality transition services are more likely to be provided when a true partnership between school personnel (included support staff and administration), parents, AEA st</w:t>
      </w:r>
      <w:r>
        <w:t>aff and the student exists; each party doing their part to ensure that the student is afforded services to enhance the successful transition from school to the adult world.  That may be designing work experiences, providing transportation for a college vis</w:t>
      </w:r>
      <w:r>
        <w:t>it, arriving at school on time, arranging for the drivers license test, arranging schedules so a block of time is allowed for work experiences, or having clean clothes to wear on a job interview.  It takes a multiple levels of effort to put the pieces toge</w:t>
      </w:r>
      <w:r>
        <w:t>ther for a successful, coordinated, and longitudinal transition process.</w:t>
      </w:r>
    </w:p>
    <w:p w:rsidR="005762B0" w:rsidRDefault="00723D6A">
      <w:pPr>
        <w:jc w:val="both"/>
      </w:pPr>
    </w:p>
    <w:p w:rsidR="005762B0" w:rsidRDefault="00723D6A">
      <w:pPr>
        <w:jc w:val="both"/>
      </w:pPr>
      <w:r>
        <w:t>Historical data on transitioning youth with disabilities does not paint a pretty picture, neither nationally nor locally.  It is the intent of this Guide to help teachers, AEA staff,</w:t>
      </w:r>
      <w:r>
        <w:t xml:space="preserve"> parents and adult service providers to work together to improve the outcomes for youth with disabilities leaving the Henry County school systems.</w:t>
      </w:r>
    </w:p>
    <w:p w:rsidR="005762B0" w:rsidRDefault="00723D6A">
      <w:pPr>
        <w:jc w:val="both"/>
      </w:pPr>
    </w:p>
    <w:p w:rsidR="005762B0" w:rsidRDefault="00723D6A">
      <w:pPr>
        <w:jc w:val="both"/>
      </w:pPr>
      <w:r>
        <w:t>SueAnn Morrow, Ph.D.</w:t>
      </w:r>
    </w:p>
    <w:p w:rsidR="005762B0" w:rsidRDefault="00723D6A">
      <w:pPr>
        <w:jc w:val="both"/>
      </w:pPr>
      <w:r>
        <w:t>Project Coordinator</w:t>
      </w:r>
    </w:p>
    <w:p w:rsidR="005762B0" w:rsidRDefault="00723D6A">
      <w:pPr>
        <w:jc w:val="both"/>
      </w:pPr>
      <w:r>
        <w:t>Transition Partners</w:t>
      </w:r>
    </w:p>
    <w:p w:rsidR="005762B0" w:rsidRDefault="00723D6A">
      <w:pPr>
        <w:jc w:val="both"/>
      </w:pPr>
      <w:r>
        <w:t>Henry County Extension/Healthy Henry County Com</w:t>
      </w:r>
      <w:r>
        <w:t>munities</w:t>
      </w:r>
      <w:r>
        <w:tab/>
      </w:r>
      <w:r>
        <w:tab/>
      </w:r>
      <w:r>
        <w:tab/>
      </w:r>
      <w:r>
        <w:tab/>
      </w:r>
      <w:r>
        <w:tab/>
      </w:r>
    </w:p>
    <w:p w:rsidR="005762B0" w:rsidRDefault="00723D6A">
      <w:pPr>
        <w:jc w:val="both"/>
      </w:pPr>
    </w:p>
    <w:p w:rsidR="005762B0" w:rsidRDefault="00723D6A">
      <w:pPr>
        <w:jc w:val="both"/>
      </w:pPr>
    </w:p>
    <w:p w:rsidR="005762B0" w:rsidRDefault="00723D6A" w:rsidP="005762B0">
      <w:pPr>
        <w:jc w:val="center"/>
        <w:rPr>
          <w:sz w:val="56"/>
          <w:szCs w:val="56"/>
        </w:rPr>
      </w:pPr>
      <w:r>
        <w:rPr>
          <w:noProof/>
        </w:rPr>
        <w:lastRenderedPageBreak/>
        <w:drawing>
          <wp:anchor distT="36576" distB="36576" distL="36576" distR="36576" simplePos="0" relativeHeight="251651072" behindDoc="0" locked="0" layoutInCell="1" allowOverlap="1">
            <wp:simplePos x="0" y="0"/>
            <wp:positionH relativeFrom="column">
              <wp:posOffset>274320</wp:posOffset>
            </wp:positionH>
            <wp:positionV relativeFrom="paragraph">
              <wp:posOffset>182880</wp:posOffset>
            </wp:positionV>
            <wp:extent cx="1506220" cy="635000"/>
            <wp:effectExtent l="19050" t="0" r="0" b="0"/>
            <wp:wrapNone/>
            <wp:docPr id="2" name="Picture 2" descr="MCj02889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889880000[1]"/>
                    <pic:cNvPicPr>
                      <a:picLocks noChangeAspect="1" noChangeArrowheads="1"/>
                    </pic:cNvPicPr>
                  </pic:nvPicPr>
                  <pic:blipFill>
                    <a:blip r:embed="rId7"/>
                    <a:srcRect/>
                    <a:stretch>
                      <a:fillRect/>
                    </a:stretch>
                  </pic:blipFill>
                  <pic:spPr bwMode="auto">
                    <a:xfrm>
                      <a:off x="0" y="0"/>
                      <a:ext cx="1506220" cy="635000"/>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52096" behindDoc="0" locked="0" layoutInCell="1" allowOverlap="1">
            <wp:simplePos x="0" y="0"/>
            <wp:positionH relativeFrom="column">
              <wp:posOffset>1760220</wp:posOffset>
            </wp:positionH>
            <wp:positionV relativeFrom="paragraph">
              <wp:posOffset>182880</wp:posOffset>
            </wp:positionV>
            <wp:extent cx="1506220" cy="635000"/>
            <wp:effectExtent l="19050" t="0" r="0" b="0"/>
            <wp:wrapNone/>
            <wp:docPr id="3" name="Picture 3" descr="MCj02889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889880000[1]"/>
                    <pic:cNvPicPr>
                      <a:picLocks noChangeAspect="1" noChangeArrowheads="1"/>
                    </pic:cNvPicPr>
                  </pic:nvPicPr>
                  <pic:blipFill>
                    <a:blip r:embed="rId7"/>
                    <a:srcRect/>
                    <a:stretch>
                      <a:fillRect/>
                    </a:stretch>
                  </pic:blipFill>
                  <pic:spPr bwMode="auto">
                    <a:xfrm>
                      <a:off x="0" y="0"/>
                      <a:ext cx="1506220" cy="635000"/>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53120" behindDoc="0" locked="0" layoutInCell="1" allowOverlap="1">
            <wp:simplePos x="0" y="0"/>
            <wp:positionH relativeFrom="column">
              <wp:posOffset>3360420</wp:posOffset>
            </wp:positionH>
            <wp:positionV relativeFrom="paragraph">
              <wp:posOffset>182880</wp:posOffset>
            </wp:positionV>
            <wp:extent cx="1506220" cy="635000"/>
            <wp:effectExtent l="19050" t="0" r="0" b="0"/>
            <wp:wrapNone/>
            <wp:docPr id="4" name="Picture 4" descr="MCj02889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889880000[1]"/>
                    <pic:cNvPicPr>
                      <a:picLocks noChangeAspect="1" noChangeArrowheads="1"/>
                    </pic:cNvPicPr>
                  </pic:nvPicPr>
                  <pic:blipFill>
                    <a:blip r:embed="rId7"/>
                    <a:srcRect/>
                    <a:stretch>
                      <a:fillRect/>
                    </a:stretch>
                  </pic:blipFill>
                  <pic:spPr bwMode="auto">
                    <a:xfrm>
                      <a:off x="0" y="0"/>
                      <a:ext cx="1506220" cy="635000"/>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54144" behindDoc="0" locked="0" layoutInCell="1" allowOverlap="1">
            <wp:simplePos x="0" y="0"/>
            <wp:positionH relativeFrom="column">
              <wp:posOffset>4846320</wp:posOffset>
            </wp:positionH>
            <wp:positionV relativeFrom="paragraph">
              <wp:posOffset>182880</wp:posOffset>
            </wp:positionV>
            <wp:extent cx="1506220" cy="635000"/>
            <wp:effectExtent l="19050" t="0" r="0" b="0"/>
            <wp:wrapNone/>
            <wp:docPr id="5" name="Picture 5" descr="MCj02889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2889880000[1]"/>
                    <pic:cNvPicPr>
                      <a:picLocks noChangeAspect="1" noChangeArrowheads="1"/>
                    </pic:cNvPicPr>
                  </pic:nvPicPr>
                  <pic:blipFill>
                    <a:blip r:embed="rId7"/>
                    <a:srcRect/>
                    <a:stretch>
                      <a:fillRect/>
                    </a:stretch>
                  </pic:blipFill>
                  <pic:spPr bwMode="auto">
                    <a:xfrm>
                      <a:off x="0" y="0"/>
                      <a:ext cx="1506220" cy="635000"/>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55168" behindDoc="0" locked="0" layoutInCell="1" allowOverlap="1">
            <wp:simplePos x="0" y="0"/>
            <wp:positionH relativeFrom="column">
              <wp:posOffset>6332220</wp:posOffset>
            </wp:positionH>
            <wp:positionV relativeFrom="paragraph">
              <wp:posOffset>182880</wp:posOffset>
            </wp:positionV>
            <wp:extent cx="1506220" cy="635000"/>
            <wp:effectExtent l="19050" t="0" r="0" b="0"/>
            <wp:wrapNone/>
            <wp:docPr id="6" name="Picture 6" descr="MCj02889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2889880000[1]"/>
                    <pic:cNvPicPr>
                      <a:picLocks noChangeAspect="1" noChangeArrowheads="1"/>
                    </pic:cNvPicPr>
                  </pic:nvPicPr>
                  <pic:blipFill>
                    <a:blip r:embed="rId7"/>
                    <a:srcRect/>
                    <a:stretch>
                      <a:fillRect/>
                    </a:stretch>
                  </pic:blipFill>
                  <pic:spPr bwMode="auto">
                    <a:xfrm>
                      <a:off x="0" y="0"/>
                      <a:ext cx="1506220" cy="635000"/>
                    </a:xfrm>
                    <a:prstGeom prst="rect">
                      <a:avLst/>
                    </a:prstGeom>
                    <a:noFill/>
                    <a:ln w="9525" algn="in">
                      <a:noFill/>
                      <a:miter lim="800000"/>
                      <a:headEnd/>
                      <a:tailEnd/>
                    </a:ln>
                    <a:effectLst/>
                  </pic:spPr>
                </pic:pic>
              </a:graphicData>
            </a:graphic>
          </wp:anchor>
        </w:drawing>
      </w:r>
    </w:p>
    <w:p w:rsidR="005762B0" w:rsidRDefault="00723D6A" w:rsidP="005762B0">
      <w:pPr>
        <w:jc w:val="center"/>
        <w:rPr>
          <w:sz w:val="56"/>
          <w:szCs w:val="56"/>
        </w:rPr>
      </w:pPr>
    </w:p>
    <w:p w:rsidR="005762B0" w:rsidRDefault="00723D6A" w:rsidP="005762B0">
      <w:pPr>
        <w:jc w:val="center"/>
        <w:rPr>
          <w:sz w:val="56"/>
          <w:szCs w:val="56"/>
        </w:rPr>
      </w:pPr>
    </w:p>
    <w:p w:rsidR="005762B0" w:rsidRDefault="00723D6A" w:rsidP="005762B0">
      <w:pPr>
        <w:jc w:val="center"/>
        <w:rPr>
          <w:sz w:val="56"/>
          <w:szCs w:val="56"/>
        </w:rPr>
      </w:pPr>
      <w:r w:rsidRPr="00D8675B">
        <w:rPr>
          <w:sz w:val="56"/>
          <w:szCs w:val="56"/>
        </w:rPr>
        <w:t>Partner Agencies</w:t>
      </w:r>
    </w:p>
    <w:p w:rsidR="005762B0" w:rsidRDefault="00723D6A" w:rsidP="005762B0">
      <w:pPr>
        <w:jc w:val="center"/>
        <w:rPr>
          <w:sz w:val="56"/>
          <w:szCs w:val="56"/>
        </w:rPr>
      </w:pPr>
    </w:p>
    <w:tbl>
      <w:tblPr>
        <w:tblStyle w:val="TableGrid"/>
        <w:tblW w:w="12888" w:type="dxa"/>
        <w:tblLayout w:type="fixed"/>
        <w:tblLook w:val="01E0"/>
      </w:tblPr>
      <w:tblGrid>
        <w:gridCol w:w="6408"/>
        <w:gridCol w:w="6480"/>
      </w:tblGrid>
      <w:tr w:rsidR="005762B0">
        <w:tc>
          <w:tcPr>
            <w:tcW w:w="6408" w:type="dxa"/>
          </w:tcPr>
          <w:p w:rsidR="005762B0" w:rsidRPr="008E2D71" w:rsidRDefault="00723D6A" w:rsidP="005762B0">
            <w:pPr>
              <w:rPr>
                <w:spacing w:val="-12"/>
                <w:sz w:val="28"/>
                <w:szCs w:val="28"/>
              </w:rPr>
            </w:pPr>
            <w:r w:rsidRPr="008E2D71">
              <w:rPr>
                <w:spacing w:val="-12"/>
                <w:sz w:val="28"/>
                <w:szCs w:val="28"/>
              </w:rPr>
              <w:t>Evert Conner Independent Living Center</w:t>
            </w:r>
          </w:p>
        </w:tc>
        <w:tc>
          <w:tcPr>
            <w:tcW w:w="6480" w:type="dxa"/>
          </w:tcPr>
          <w:p w:rsidR="005762B0" w:rsidRDefault="00723D6A" w:rsidP="005762B0">
            <w:pPr>
              <w:jc w:val="right"/>
              <w:rPr>
                <w:sz w:val="28"/>
                <w:szCs w:val="28"/>
              </w:rPr>
            </w:pPr>
            <w:r>
              <w:rPr>
                <w:sz w:val="28"/>
                <w:szCs w:val="28"/>
              </w:rPr>
              <w:t>Iowa Vocational Rehabilitation Services</w:t>
            </w:r>
          </w:p>
        </w:tc>
      </w:tr>
      <w:tr w:rsidR="005762B0">
        <w:tc>
          <w:tcPr>
            <w:tcW w:w="6408" w:type="dxa"/>
          </w:tcPr>
          <w:p w:rsidR="005762B0" w:rsidRDefault="00723D6A" w:rsidP="005762B0">
            <w:pPr>
              <w:rPr>
                <w:sz w:val="28"/>
                <w:szCs w:val="28"/>
              </w:rPr>
            </w:pPr>
            <w:r>
              <w:rPr>
                <w:sz w:val="28"/>
                <w:szCs w:val="28"/>
              </w:rPr>
              <w:t>Department of Human Services</w:t>
            </w:r>
          </w:p>
        </w:tc>
        <w:tc>
          <w:tcPr>
            <w:tcW w:w="6480" w:type="dxa"/>
          </w:tcPr>
          <w:p w:rsidR="005762B0" w:rsidRDefault="00723D6A" w:rsidP="005762B0">
            <w:pPr>
              <w:jc w:val="right"/>
              <w:rPr>
                <w:sz w:val="28"/>
                <w:szCs w:val="28"/>
              </w:rPr>
            </w:pPr>
            <w:r>
              <w:rPr>
                <w:sz w:val="28"/>
                <w:szCs w:val="28"/>
              </w:rPr>
              <w:t>Iowa Wesleyan College</w:t>
            </w:r>
          </w:p>
        </w:tc>
      </w:tr>
      <w:tr w:rsidR="005762B0">
        <w:tc>
          <w:tcPr>
            <w:tcW w:w="6408" w:type="dxa"/>
          </w:tcPr>
          <w:p w:rsidR="005762B0" w:rsidRDefault="00723D6A" w:rsidP="005762B0">
            <w:pPr>
              <w:rPr>
                <w:sz w:val="28"/>
                <w:szCs w:val="28"/>
              </w:rPr>
            </w:pPr>
            <w:r>
              <w:rPr>
                <w:sz w:val="28"/>
                <w:szCs w:val="28"/>
              </w:rPr>
              <w:t>Great Prairie Area Education Agency</w:t>
            </w:r>
          </w:p>
        </w:tc>
        <w:tc>
          <w:tcPr>
            <w:tcW w:w="6480" w:type="dxa"/>
          </w:tcPr>
          <w:p w:rsidR="005762B0" w:rsidRDefault="00723D6A" w:rsidP="005762B0">
            <w:pPr>
              <w:jc w:val="right"/>
              <w:rPr>
                <w:sz w:val="28"/>
                <w:szCs w:val="28"/>
              </w:rPr>
            </w:pPr>
            <w:r>
              <w:rPr>
                <w:sz w:val="28"/>
                <w:szCs w:val="28"/>
              </w:rPr>
              <w:t>Southeast Iowa Community College</w:t>
            </w:r>
          </w:p>
        </w:tc>
      </w:tr>
      <w:tr w:rsidR="005762B0">
        <w:tc>
          <w:tcPr>
            <w:tcW w:w="6408" w:type="dxa"/>
          </w:tcPr>
          <w:p w:rsidR="005762B0" w:rsidRDefault="00723D6A" w:rsidP="005762B0">
            <w:pPr>
              <w:rPr>
                <w:sz w:val="28"/>
                <w:szCs w:val="28"/>
              </w:rPr>
            </w:pPr>
            <w:r>
              <w:rPr>
                <w:sz w:val="28"/>
                <w:szCs w:val="28"/>
              </w:rPr>
              <w:t>Healthy Henr</w:t>
            </w:r>
            <w:r>
              <w:rPr>
                <w:sz w:val="28"/>
                <w:szCs w:val="28"/>
              </w:rPr>
              <w:t>y County Communities</w:t>
            </w:r>
          </w:p>
        </w:tc>
        <w:tc>
          <w:tcPr>
            <w:tcW w:w="6480" w:type="dxa"/>
          </w:tcPr>
          <w:p w:rsidR="005762B0" w:rsidRDefault="00723D6A" w:rsidP="005762B0">
            <w:pPr>
              <w:jc w:val="right"/>
              <w:rPr>
                <w:sz w:val="28"/>
                <w:szCs w:val="28"/>
              </w:rPr>
            </w:pPr>
            <w:r>
              <w:rPr>
                <w:sz w:val="28"/>
                <w:szCs w:val="28"/>
              </w:rPr>
              <w:t>STEP Employment</w:t>
            </w:r>
          </w:p>
        </w:tc>
      </w:tr>
      <w:tr w:rsidR="005762B0">
        <w:tc>
          <w:tcPr>
            <w:tcW w:w="6408" w:type="dxa"/>
          </w:tcPr>
          <w:p w:rsidR="005762B0" w:rsidRPr="008E2D71" w:rsidRDefault="00723D6A" w:rsidP="005762B0">
            <w:pPr>
              <w:rPr>
                <w:spacing w:val="-16"/>
                <w:sz w:val="28"/>
                <w:szCs w:val="28"/>
              </w:rPr>
            </w:pPr>
            <w:r w:rsidRPr="008E2D71">
              <w:rPr>
                <w:spacing w:val="-16"/>
                <w:sz w:val="28"/>
                <w:szCs w:val="28"/>
              </w:rPr>
              <w:t>Henry County Central Point of Coordination</w:t>
            </w:r>
          </w:p>
        </w:tc>
        <w:tc>
          <w:tcPr>
            <w:tcW w:w="6480" w:type="dxa"/>
          </w:tcPr>
          <w:p w:rsidR="005762B0" w:rsidRDefault="00723D6A" w:rsidP="005762B0">
            <w:pPr>
              <w:jc w:val="right"/>
              <w:rPr>
                <w:sz w:val="28"/>
                <w:szCs w:val="28"/>
              </w:rPr>
            </w:pPr>
            <w:r>
              <w:rPr>
                <w:sz w:val="28"/>
                <w:szCs w:val="28"/>
              </w:rPr>
              <w:t>Van Buren Job Opportunities</w:t>
            </w:r>
          </w:p>
        </w:tc>
      </w:tr>
      <w:tr w:rsidR="005762B0">
        <w:tc>
          <w:tcPr>
            <w:tcW w:w="6408" w:type="dxa"/>
          </w:tcPr>
          <w:p w:rsidR="005762B0" w:rsidRDefault="00723D6A" w:rsidP="005762B0">
            <w:pPr>
              <w:rPr>
                <w:sz w:val="28"/>
                <w:szCs w:val="28"/>
              </w:rPr>
            </w:pPr>
            <w:r w:rsidRPr="00D8675B">
              <w:rPr>
                <w:sz w:val="28"/>
                <w:szCs w:val="28"/>
              </w:rPr>
              <w:t>Henry County Extension</w:t>
            </w:r>
          </w:p>
        </w:tc>
        <w:tc>
          <w:tcPr>
            <w:tcW w:w="6480" w:type="dxa"/>
          </w:tcPr>
          <w:p w:rsidR="005762B0" w:rsidRDefault="00723D6A" w:rsidP="005762B0">
            <w:pPr>
              <w:jc w:val="right"/>
              <w:rPr>
                <w:sz w:val="28"/>
                <w:szCs w:val="28"/>
              </w:rPr>
            </w:pPr>
            <w:r>
              <w:rPr>
                <w:sz w:val="28"/>
                <w:szCs w:val="28"/>
              </w:rPr>
              <w:t>Waco Community Schools</w:t>
            </w:r>
          </w:p>
        </w:tc>
      </w:tr>
      <w:tr w:rsidR="005762B0">
        <w:tc>
          <w:tcPr>
            <w:tcW w:w="6408" w:type="dxa"/>
          </w:tcPr>
          <w:p w:rsidR="005762B0" w:rsidRDefault="00723D6A" w:rsidP="005762B0">
            <w:pPr>
              <w:rPr>
                <w:sz w:val="28"/>
                <w:szCs w:val="28"/>
              </w:rPr>
            </w:pPr>
            <w:r>
              <w:rPr>
                <w:sz w:val="28"/>
                <w:szCs w:val="28"/>
              </w:rPr>
              <w:t>Mount Pleasant Community Schools</w:t>
            </w:r>
          </w:p>
        </w:tc>
        <w:tc>
          <w:tcPr>
            <w:tcW w:w="6480" w:type="dxa"/>
          </w:tcPr>
          <w:p w:rsidR="005762B0" w:rsidRDefault="00723D6A" w:rsidP="005762B0">
            <w:pPr>
              <w:jc w:val="right"/>
              <w:rPr>
                <w:sz w:val="28"/>
                <w:szCs w:val="28"/>
              </w:rPr>
            </w:pPr>
            <w:r>
              <w:rPr>
                <w:sz w:val="28"/>
                <w:szCs w:val="28"/>
              </w:rPr>
              <w:t>Winfield Mt-Union Community Schools</w:t>
            </w:r>
          </w:p>
        </w:tc>
      </w:tr>
      <w:tr w:rsidR="005762B0">
        <w:tc>
          <w:tcPr>
            <w:tcW w:w="6408" w:type="dxa"/>
          </w:tcPr>
          <w:p w:rsidR="005762B0" w:rsidRDefault="00723D6A" w:rsidP="005762B0">
            <w:pPr>
              <w:rPr>
                <w:sz w:val="28"/>
                <w:szCs w:val="28"/>
              </w:rPr>
            </w:pPr>
            <w:r>
              <w:rPr>
                <w:sz w:val="28"/>
                <w:szCs w:val="28"/>
              </w:rPr>
              <w:t>New London Community Schools</w:t>
            </w:r>
          </w:p>
        </w:tc>
        <w:tc>
          <w:tcPr>
            <w:tcW w:w="6480" w:type="dxa"/>
          </w:tcPr>
          <w:p w:rsidR="005762B0" w:rsidRDefault="00723D6A" w:rsidP="005762B0">
            <w:pPr>
              <w:jc w:val="right"/>
              <w:rPr>
                <w:sz w:val="28"/>
                <w:szCs w:val="28"/>
              </w:rPr>
            </w:pPr>
            <w:r>
              <w:rPr>
                <w:sz w:val="28"/>
                <w:szCs w:val="28"/>
              </w:rPr>
              <w:t>Workforce Development</w:t>
            </w:r>
          </w:p>
        </w:tc>
      </w:tr>
      <w:tr w:rsidR="005762B0">
        <w:tc>
          <w:tcPr>
            <w:tcW w:w="6408" w:type="dxa"/>
          </w:tcPr>
          <w:p w:rsidR="005762B0" w:rsidRDefault="00723D6A" w:rsidP="005762B0">
            <w:pPr>
              <w:rPr>
                <w:sz w:val="28"/>
                <w:szCs w:val="28"/>
              </w:rPr>
            </w:pPr>
            <w:r>
              <w:rPr>
                <w:sz w:val="28"/>
                <w:szCs w:val="28"/>
              </w:rPr>
              <w:t xml:space="preserve">Hope Haven </w:t>
            </w:r>
          </w:p>
        </w:tc>
        <w:tc>
          <w:tcPr>
            <w:tcW w:w="6480" w:type="dxa"/>
          </w:tcPr>
          <w:p w:rsidR="005762B0" w:rsidRDefault="00723D6A" w:rsidP="005762B0">
            <w:pPr>
              <w:jc w:val="right"/>
              <w:rPr>
                <w:sz w:val="28"/>
                <w:szCs w:val="28"/>
              </w:rPr>
            </w:pPr>
            <w:r>
              <w:rPr>
                <w:sz w:val="28"/>
                <w:szCs w:val="28"/>
              </w:rPr>
              <w:t>Workforce Investment Act</w:t>
            </w:r>
          </w:p>
        </w:tc>
      </w:tr>
    </w:tbl>
    <w:p w:rsidR="005762B0" w:rsidRPr="00D8675B" w:rsidRDefault="00723D6A" w:rsidP="005762B0">
      <w:pPr>
        <w:jc w:val="center"/>
        <w:rPr>
          <w:sz w:val="28"/>
          <w:szCs w:val="28"/>
        </w:rPr>
      </w:pPr>
    </w:p>
    <w:p w:rsidR="005762B0" w:rsidRPr="00D8675B" w:rsidRDefault="00723D6A" w:rsidP="005762B0">
      <w:pPr>
        <w:rPr>
          <w:sz w:val="28"/>
          <w:szCs w:val="28"/>
        </w:rPr>
      </w:pPr>
    </w:p>
    <w:p w:rsidR="005762B0" w:rsidRDefault="00723D6A">
      <w:pPr>
        <w:jc w:val="both"/>
      </w:pPr>
    </w:p>
    <w:p w:rsidR="005762B0" w:rsidRDefault="00723D6A">
      <w:pPr>
        <w:jc w:val="both"/>
      </w:pPr>
    </w:p>
    <w:p w:rsidR="005762B0" w:rsidRDefault="00723D6A">
      <w:pPr>
        <w:jc w:val="both"/>
      </w:pPr>
    </w:p>
    <w:p w:rsidR="005762B0" w:rsidRDefault="00723D6A">
      <w:pPr>
        <w:jc w:val="both"/>
      </w:pPr>
    </w:p>
    <w:p w:rsidR="005762B0" w:rsidRDefault="00723D6A">
      <w:pPr>
        <w:jc w:val="both"/>
      </w:pPr>
    </w:p>
    <w:p w:rsidR="005762B0" w:rsidRDefault="00723D6A">
      <w:pPr>
        <w:jc w:val="both"/>
      </w:pPr>
    </w:p>
    <w:p w:rsidR="005762B0" w:rsidRDefault="00723D6A">
      <w:pPr>
        <w:jc w:val="both"/>
      </w:pPr>
    </w:p>
    <w:p w:rsidR="005762B0" w:rsidRDefault="00723D6A">
      <w:pPr>
        <w:jc w:val="both"/>
      </w:pPr>
    </w:p>
    <w:p w:rsidR="005762B0" w:rsidRDefault="00723D6A">
      <w:pPr>
        <w:jc w:val="both"/>
        <w:sectPr w:rsidR="005762B0">
          <w:footerReference w:type="default" r:id="rId8"/>
          <w:pgSz w:w="15840" w:h="12240" w:orient="landscape"/>
          <w:pgMar w:top="1584" w:right="1008" w:bottom="1296" w:left="1008" w:header="720" w:footer="720" w:gutter="0"/>
          <w:cols w:space="720"/>
        </w:sectPr>
      </w:pPr>
    </w:p>
    <w:p w:rsidR="005762B0" w:rsidRDefault="00723D6A">
      <w:pPr>
        <w:jc w:val="both"/>
      </w:pPr>
    </w:p>
    <w:p w:rsidR="005762B0" w:rsidRDefault="00723D6A" w:rsidP="005762B0">
      <w:pPr>
        <w:pStyle w:val="Title"/>
      </w:pPr>
      <w:r>
        <w:lastRenderedPageBreak/>
        <w:t>Activities/Services for Effective Transition for Henry CO Youth with Disabilities</w:t>
      </w:r>
    </w:p>
    <w:p w:rsidR="005762B0" w:rsidRDefault="00723D6A" w:rsidP="005762B0">
      <w:pPr>
        <w:rPr>
          <w:sz w:val="18"/>
        </w:rPr>
      </w:pPr>
      <w:r>
        <w:rPr>
          <w:noProof/>
        </w:rPr>
        <w:pict>
          <v:shapetype id="_x0000_t202" coordsize="21600,21600" o:spt="202" path="m,l,21600r21600,l21600,xe">
            <v:stroke joinstyle="miter"/>
            <v:path gradientshapeok="t" o:connecttype="rect"/>
          </v:shapetype>
          <v:shape id="_x0000_s1031" type="#_x0000_t202" style="position:absolute;margin-left:4.05pt;margin-top:1pt;width:234pt;height:172.8pt;z-index:251656192">
            <v:textbox style="mso-next-textbox:#_x0000_s1031">
              <w:txbxContent>
                <w:p w:rsidR="005762B0" w:rsidRDefault="00723D6A" w:rsidP="005762B0">
                  <w:pPr>
                    <w:pStyle w:val="Heading1"/>
                  </w:pPr>
                  <w:r>
                    <w:t>Eighth Grade</w:t>
                  </w:r>
                </w:p>
                <w:p w:rsidR="005762B0" w:rsidRDefault="00723D6A" w:rsidP="005762B0">
                  <w:r>
                    <w:t xml:space="preserve">8.1  In-school work </w:t>
                  </w:r>
                  <w:r>
                    <w:t>experience</w:t>
                  </w:r>
                </w:p>
                <w:p w:rsidR="005762B0" w:rsidRDefault="00723D6A" w:rsidP="005762B0">
                  <w:r>
                    <w:t>8.2  Employment/Career Portfolio Started</w:t>
                  </w:r>
                </w:p>
                <w:p w:rsidR="005762B0" w:rsidRDefault="00723D6A" w:rsidP="005762B0">
                  <w:r>
                    <w:t>8.3  Parent Resource Meeting</w:t>
                  </w:r>
                </w:p>
                <w:p w:rsidR="005762B0" w:rsidRDefault="00723D6A" w:rsidP="005762B0">
                  <w:r>
                    <w:t>8.4  Check into HCBS Waiver and Apply</w:t>
                  </w:r>
                </w:p>
                <w:p w:rsidR="005762B0" w:rsidRDefault="00723D6A" w:rsidP="005762B0">
                  <w:r>
                    <w:t>8.5  Contact DHS Caseworker</w:t>
                  </w:r>
                </w:p>
                <w:p w:rsidR="005762B0" w:rsidRDefault="00723D6A" w:rsidP="005762B0">
                  <w:r>
                    <w:t>8.6 Career Focused Field Trips</w:t>
                  </w:r>
                </w:p>
                <w:p w:rsidR="005762B0" w:rsidRDefault="00723D6A" w:rsidP="005762B0">
                  <w:r>
                    <w:t>8.7  Guest Speakers Regarding Careers</w:t>
                  </w:r>
                </w:p>
                <w:p w:rsidR="005762B0" w:rsidRDefault="00723D6A" w:rsidP="005762B0">
                  <w:r>
                    <w:t>8.8  Initial Resume Written</w:t>
                  </w:r>
                </w:p>
                <w:p w:rsidR="005762B0" w:rsidRDefault="00723D6A" w:rsidP="005762B0">
                  <w:pPr>
                    <w:numPr>
                      <w:ilvl w:val="1"/>
                      <w:numId w:val="1"/>
                    </w:numPr>
                  </w:pPr>
                  <w:r>
                    <w:t xml:space="preserve"> Core Curric</w:t>
                  </w:r>
                  <w:r>
                    <w:t xml:space="preserve">ulum Completion Plan Developed </w:t>
                  </w:r>
                </w:p>
              </w:txbxContent>
            </v:textbox>
          </v:shape>
        </w:pict>
      </w:r>
      <w:r>
        <w:rPr>
          <w:noProof/>
        </w:rPr>
        <w:pict>
          <v:shape id="_x0000_s1033" type="#_x0000_t202" style="position:absolute;margin-left:490.05pt;margin-top:1pt;width:223.2pt;height:253.8pt;z-index:251658240">
            <v:textbox>
              <w:txbxContent>
                <w:p w:rsidR="005762B0" w:rsidRDefault="00723D6A" w:rsidP="005762B0">
                  <w:pPr>
                    <w:pStyle w:val="Heading1"/>
                  </w:pPr>
                  <w:r>
                    <w:t>Sophomore</w:t>
                  </w:r>
                </w:p>
                <w:p w:rsidR="005762B0" w:rsidRDefault="00723D6A" w:rsidP="005762B0">
                  <w:r>
                    <w:t>10.1  1-1 Job Shadowing</w:t>
                  </w:r>
                </w:p>
                <w:p w:rsidR="005762B0" w:rsidRDefault="00723D6A" w:rsidP="005762B0">
                  <w:pPr>
                    <w:ind w:left="630" w:hanging="630"/>
                  </w:pPr>
                  <w:r>
                    <w:t>10.2  Class/Experience using technology for Career Exploration</w:t>
                  </w:r>
                </w:p>
                <w:p w:rsidR="005762B0" w:rsidRDefault="00723D6A" w:rsidP="005762B0">
                  <w:r>
                    <w:t>10.3  Person Centered Career Exploration</w:t>
                  </w:r>
                </w:p>
                <w:p w:rsidR="005762B0" w:rsidRDefault="00723D6A" w:rsidP="005762B0">
                  <w:r>
                    <w:t>10.4  Possible Volunteer Work</w:t>
                  </w:r>
                </w:p>
                <w:p w:rsidR="005762B0" w:rsidRDefault="00723D6A" w:rsidP="005762B0">
                  <w:pPr>
                    <w:spacing w:line="240" w:lineRule="exact"/>
                  </w:pPr>
                  <w:r>
                    <w:t>10.5  Contact DHS Caseworker</w:t>
                  </w:r>
                </w:p>
                <w:p w:rsidR="005762B0" w:rsidRDefault="00723D6A" w:rsidP="005762B0">
                  <w:r>
                    <w:t>10.6  Group Mentors</w:t>
                  </w:r>
                </w:p>
                <w:p w:rsidR="005762B0" w:rsidRDefault="00723D6A" w:rsidP="005762B0">
                  <w:pPr>
                    <w:ind w:left="630" w:hanging="630"/>
                  </w:pPr>
                  <w:r>
                    <w:t>10.7  Assist student to contact Guidance Counselor regarding College sele</w:t>
                  </w:r>
                  <w:r>
                    <w:t>ction:  Determine admissions requirements of potentials</w:t>
                  </w:r>
                </w:p>
                <w:p w:rsidR="005762B0" w:rsidRDefault="00723D6A" w:rsidP="005762B0">
                  <w:pPr>
                    <w:numPr>
                      <w:ilvl w:val="1"/>
                      <w:numId w:val="2"/>
                    </w:numPr>
                  </w:pPr>
                  <w:r>
                    <w:t>Help students investigate Upward Bound possibilities</w:t>
                  </w:r>
                </w:p>
                <w:p w:rsidR="005762B0" w:rsidRDefault="00723D6A" w:rsidP="005762B0">
                  <w:pPr>
                    <w:numPr>
                      <w:ilvl w:val="1"/>
                      <w:numId w:val="2"/>
                    </w:numPr>
                  </w:pPr>
                  <w:r>
                    <w:t xml:space="preserve"> Investigate securing an IA Drivers License</w:t>
                  </w:r>
                </w:p>
                <w:p w:rsidR="005762B0" w:rsidRDefault="00723D6A" w:rsidP="005762B0">
                  <w:pPr>
                    <w:numPr>
                      <w:ilvl w:val="1"/>
                      <w:numId w:val="2"/>
                    </w:numPr>
                  </w:pPr>
                  <w:r>
                    <w:t xml:space="preserve"> Secure parent permission at IEP to contact adult service providers</w:t>
                  </w:r>
                </w:p>
                <w:p w:rsidR="005762B0" w:rsidRDefault="00723D6A" w:rsidP="005762B0"/>
              </w:txbxContent>
            </v:textbox>
          </v:shape>
        </w:pict>
      </w:r>
    </w:p>
    <w:p w:rsidR="005762B0" w:rsidRDefault="00723D6A" w:rsidP="005762B0">
      <w:r>
        <w:rPr>
          <w:noProof/>
        </w:rPr>
        <w:pict>
          <v:shape id="_x0000_s1032" type="#_x0000_t202" style="position:absolute;margin-left:256.05pt;margin-top:5.15pt;width:207pt;height:149.25pt;z-index:251657216">
            <v:textbox style="mso-next-textbox:#_x0000_s1032">
              <w:txbxContent>
                <w:p w:rsidR="005762B0" w:rsidRDefault="00723D6A" w:rsidP="005762B0">
                  <w:pPr>
                    <w:pStyle w:val="Heading2"/>
                    <w:rPr>
                      <w:b/>
                    </w:rPr>
                  </w:pPr>
                  <w:r>
                    <w:rPr>
                      <w:b/>
                    </w:rPr>
                    <w:t>Freshman</w:t>
                  </w:r>
                </w:p>
                <w:p w:rsidR="005762B0" w:rsidRDefault="00723D6A" w:rsidP="005762B0">
                  <w:pPr>
                    <w:ind w:left="450" w:hanging="450"/>
                  </w:pPr>
                  <w:r>
                    <w:t>9.1  Administer Choices, IDEAS, or Other Interest Inventory—1</w:t>
                  </w:r>
                  <w:r>
                    <w:rPr>
                      <w:vertAlign w:val="superscript"/>
                    </w:rPr>
                    <w:t>st</w:t>
                  </w:r>
                  <w:r>
                    <w:t xml:space="preserve"> Semester</w:t>
                  </w:r>
                </w:p>
                <w:p w:rsidR="005762B0" w:rsidRDefault="00723D6A" w:rsidP="005762B0">
                  <w:r>
                    <w:t xml:space="preserve">9.2  Class/Experience using technology for Career Exploration </w:t>
                  </w:r>
                </w:p>
                <w:p w:rsidR="005762B0" w:rsidRDefault="00723D6A" w:rsidP="005762B0">
                  <w:pPr>
                    <w:ind w:left="450" w:hanging="450"/>
                  </w:pPr>
                  <w:r>
                    <w:t>9.3  Small Group Community Career Exploration</w:t>
                  </w:r>
                </w:p>
                <w:p w:rsidR="005762B0" w:rsidRDefault="00723D6A" w:rsidP="005762B0">
                  <w:r>
                    <w:t>9.4  Contact DHS Caseworker</w:t>
                  </w:r>
                </w:p>
                <w:p w:rsidR="005762B0" w:rsidRDefault="00723D6A" w:rsidP="005762B0">
                  <w:r>
                    <w:t xml:space="preserve">9.5 </w:t>
                  </w:r>
                  <w:r>
                    <w:t xml:space="preserve"> Student Mentors</w:t>
                  </w:r>
                </w:p>
                <w:p w:rsidR="005762B0" w:rsidRDefault="00723D6A" w:rsidP="005762B0"/>
              </w:txbxContent>
            </v:textbox>
          </v:shape>
        </w:pict>
      </w:r>
    </w:p>
    <w:p w:rsidR="005762B0" w:rsidRDefault="00723D6A" w:rsidP="005762B0"/>
    <w:p w:rsidR="005762B0" w:rsidRDefault="00723D6A" w:rsidP="005762B0">
      <w:r>
        <w:rPr>
          <w:noProof/>
        </w:rPr>
        <w:pict>
          <v:line id="_x0000_s1037" style="position:absolute;z-index:251662336" from="238.05pt,16.9pt" to="256.05pt,16.9pt">
            <v:stroke endarrow="block"/>
          </v:line>
        </w:pict>
      </w:r>
      <w:r>
        <w:rPr>
          <w:noProof/>
        </w:rPr>
        <w:pict>
          <v:line id="_x0000_s1036" style="position:absolute;z-index:251661312" from="301.05pt,304.9pt" to="373.05pt,322.9pt">
            <v:stroke endarrow="block"/>
          </v:line>
        </w:pict>
      </w:r>
      <w:r>
        <w:rPr>
          <w:noProof/>
        </w:rPr>
        <w:pict>
          <v:line id="_x0000_s1039" style="position:absolute;flip:x;z-index:251664384" from="328.05pt,178.9pt" to="445.05pt,214.9pt">
            <v:stroke endarrow="block"/>
          </v:line>
        </w:pict>
      </w:r>
      <w:r>
        <w:rPr>
          <w:noProof/>
        </w:rPr>
        <w:pict>
          <v:line id="_x0000_s1038" style="position:absolute;z-index:251663360" from="463.05pt,31.45pt" to="481.05pt,31.45pt">
            <v:stroke endarrow="block"/>
          </v:line>
        </w:pict>
      </w:r>
    </w:p>
    <w:p w:rsidR="005762B0" w:rsidRDefault="00723D6A">
      <w:pPr>
        <w:jc w:val="both"/>
      </w:pPr>
      <w:r>
        <w:rPr>
          <w:noProof/>
        </w:rPr>
        <w:pict>
          <v:shape id="_x0000_s1034" type="#_x0000_t202" style="position:absolute;left:0;text-align:left;margin-left:-1.35pt;margin-top:130.85pt;width:4in;height:4in;z-index:251659264">
            <v:textbox style="mso-next-textbox:#_x0000_s1034">
              <w:txbxContent>
                <w:p w:rsidR="005762B0" w:rsidRDefault="00723D6A" w:rsidP="005762B0">
                  <w:pPr>
                    <w:pStyle w:val="Heading1"/>
                  </w:pPr>
                  <w:r>
                    <w:t>Junior</w:t>
                  </w:r>
                </w:p>
                <w:p w:rsidR="005762B0" w:rsidRDefault="00723D6A" w:rsidP="005762B0">
                  <w:pPr>
                    <w:ind w:left="630" w:hanging="630"/>
                  </w:pPr>
                  <w:r>
                    <w:t>11.1  Contact Iowa Vocational Rehabilitation Services—1</w:t>
                  </w:r>
                  <w:r>
                    <w:rPr>
                      <w:vertAlign w:val="superscript"/>
                    </w:rPr>
                    <w:t>st</w:t>
                  </w:r>
                  <w:r>
                    <w:t xml:space="preserve"> Semester</w:t>
                  </w:r>
                </w:p>
                <w:p w:rsidR="005762B0" w:rsidRDefault="00723D6A" w:rsidP="005762B0">
                  <w:r>
                    <w:t>11.2  Contact Central Point of Coordination</w:t>
                  </w:r>
                </w:p>
                <w:p w:rsidR="005762B0" w:rsidRDefault="00723D6A" w:rsidP="005762B0">
                  <w:r>
                    <w:t>11.3   Up-Date Testing for Adult Services</w:t>
                  </w:r>
                </w:p>
                <w:p w:rsidR="005762B0" w:rsidRDefault="00723D6A" w:rsidP="005762B0">
                  <w:r>
                    <w:t>11.4  College Visits/ Take ACT if necessary</w:t>
                  </w:r>
                </w:p>
                <w:p w:rsidR="005762B0" w:rsidRDefault="00723D6A" w:rsidP="005762B0">
                  <w:r>
                    <w:t>11.5  Job Seeking/Job Keeping Cla</w:t>
                  </w:r>
                  <w:r>
                    <w:t>ss</w:t>
                  </w:r>
                </w:p>
                <w:p w:rsidR="005762B0" w:rsidRDefault="00723D6A" w:rsidP="005762B0">
                  <w:r>
                    <w:t>11.6  Community Work Experience</w:t>
                  </w:r>
                </w:p>
                <w:p w:rsidR="005762B0" w:rsidRDefault="00723D6A" w:rsidP="005762B0">
                  <w:r>
                    <w:t>11.7  Focused Employment Mentor-Individual</w:t>
                  </w:r>
                </w:p>
                <w:p w:rsidR="005762B0" w:rsidRDefault="00723D6A" w:rsidP="005762B0">
                  <w:r>
                    <w:t xml:space="preserve">11.8  Possible Volunteer Work </w:t>
                  </w:r>
                </w:p>
                <w:p w:rsidR="005762B0" w:rsidRDefault="00723D6A" w:rsidP="005762B0">
                  <w:r>
                    <w:t>11.9  Person Centered Career Exploration</w:t>
                  </w:r>
                </w:p>
                <w:p w:rsidR="005762B0" w:rsidRDefault="00723D6A" w:rsidP="005762B0">
                  <w:r>
                    <w:t>11.10  Parent Resource Meeting</w:t>
                  </w:r>
                </w:p>
                <w:p w:rsidR="005762B0" w:rsidRDefault="00723D6A" w:rsidP="005762B0">
                  <w:pPr>
                    <w:spacing w:line="240" w:lineRule="exact"/>
                  </w:pPr>
                  <w:r>
                    <w:t>11.11  Contact DHS Caseworker</w:t>
                  </w:r>
                </w:p>
                <w:p w:rsidR="005762B0" w:rsidRDefault="00723D6A" w:rsidP="005762B0">
                  <w:r>
                    <w:t>11.12 Inform Rights One Year Before 18</w:t>
                  </w:r>
                </w:p>
                <w:p w:rsidR="005762B0" w:rsidRDefault="00723D6A" w:rsidP="005762B0">
                  <w:pPr>
                    <w:ind w:left="540" w:hanging="540"/>
                  </w:pPr>
                  <w:r>
                    <w:t xml:space="preserve">11.13 </w:t>
                  </w:r>
                  <w:r>
                    <w:t xml:space="preserve"> Inform Parents of Guardianship Requirements and Alternatives</w:t>
                  </w:r>
                </w:p>
                <w:p w:rsidR="005762B0" w:rsidRDefault="00723D6A" w:rsidP="005762B0">
                  <w:r>
                    <w:t>11.14  Contact Work Incentivies Planning &amp; Assistance</w:t>
                  </w:r>
                </w:p>
                <w:p w:rsidR="005762B0" w:rsidRDefault="00723D6A" w:rsidP="005762B0">
                  <w:r>
                    <w:t>11.15 Help Student Investigate Scholarships</w:t>
                  </w:r>
                </w:p>
                <w:p w:rsidR="005762B0" w:rsidRDefault="00723D6A" w:rsidP="005762B0">
                  <w:r>
                    <w:t>11.16  Contact Workforce Investment Act personnel</w:t>
                  </w:r>
                </w:p>
                <w:p w:rsidR="005762B0" w:rsidRDefault="00723D6A" w:rsidP="005762B0">
                  <w:r>
                    <w:t>11.17  Conduct “Transition Status” Meeting</w:t>
                  </w:r>
                </w:p>
              </w:txbxContent>
            </v:textbox>
          </v:shape>
        </w:pict>
      </w:r>
      <w:r>
        <w:rPr>
          <w:noProof/>
        </w:rPr>
        <w:pict>
          <v:shape id="_x0000_s1035" type="#_x0000_t202" style="position:absolute;left:0;text-align:left;margin-left:430.65pt;margin-top:238.85pt;width:4in;height:180pt;z-index:251660288">
            <v:textbox style="mso-next-textbox:#_x0000_s1035">
              <w:txbxContent>
                <w:p w:rsidR="005762B0" w:rsidRDefault="00723D6A" w:rsidP="005762B0">
                  <w:pPr>
                    <w:pStyle w:val="Heading1"/>
                  </w:pPr>
                  <w:r>
                    <w:t>Se</w:t>
                  </w:r>
                  <w:r>
                    <w:t>nior</w:t>
                  </w:r>
                </w:p>
                <w:p w:rsidR="005762B0" w:rsidRDefault="00723D6A" w:rsidP="005762B0">
                  <w:r>
                    <w:t>12.1  Continue Community Work Experiences</w:t>
                  </w:r>
                </w:p>
                <w:p w:rsidR="005762B0" w:rsidRDefault="00723D6A" w:rsidP="005762B0">
                  <w:pPr>
                    <w:spacing w:line="240" w:lineRule="exact"/>
                  </w:pPr>
                  <w:r>
                    <w:t>12.2  Contact DHS Caseworker</w:t>
                  </w:r>
                </w:p>
                <w:p w:rsidR="005762B0" w:rsidRDefault="00723D6A" w:rsidP="005762B0">
                  <w:pPr>
                    <w:spacing w:line="240" w:lineRule="exact"/>
                  </w:pPr>
                  <w:r>
                    <w:t xml:space="preserve">12.3  Contact Central Point of Coordination </w:t>
                  </w:r>
                </w:p>
                <w:p w:rsidR="005762B0" w:rsidRDefault="00723D6A" w:rsidP="005762B0">
                  <w:pPr>
                    <w:spacing w:line="240" w:lineRule="exact"/>
                  </w:pPr>
                  <w:r>
                    <w:t>12.4  Complete All Paper Work for College</w:t>
                  </w:r>
                </w:p>
                <w:p w:rsidR="005762B0" w:rsidRDefault="00723D6A" w:rsidP="005762B0">
                  <w:r>
                    <w:t>12.5  Continue Communication with IVRS</w:t>
                  </w:r>
                </w:p>
                <w:p w:rsidR="005762B0" w:rsidRDefault="00723D6A" w:rsidP="005762B0">
                  <w:r>
                    <w:t>12.6  January—complete FAFSA forms</w:t>
                  </w:r>
                </w:p>
                <w:p w:rsidR="005762B0" w:rsidRDefault="00723D6A" w:rsidP="005762B0">
                  <w:pPr>
                    <w:spacing w:line="240" w:lineRule="exact"/>
                  </w:pPr>
                  <w:r>
                    <w:t xml:space="preserve">12.7  January—take </w:t>
                  </w:r>
                  <w:r>
                    <w:t xml:space="preserve">COMPASS test </w:t>
                  </w:r>
                </w:p>
                <w:p w:rsidR="005762B0" w:rsidRDefault="00723D6A" w:rsidP="005762B0">
                  <w:r>
                    <w:t>12.8  Develop Final Resume</w:t>
                  </w:r>
                </w:p>
                <w:p w:rsidR="005762B0" w:rsidRDefault="00723D6A" w:rsidP="005762B0">
                  <w:r>
                    <w:t>12.9  Develop Summary of Performance</w:t>
                  </w:r>
                </w:p>
                <w:p w:rsidR="005762B0" w:rsidRDefault="00723D6A" w:rsidP="005762B0">
                  <w:pPr>
                    <w:spacing w:line="240" w:lineRule="exact"/>
                  </w:pPr>
                  <w:r>
                    <w:t>12.10 Males register for Selective Service at Age 18</w:t>
                  </w:r>
                </w:p>
                <w:p w:rsidR="005762B0" w:rsidRDefault="00723D6A" w:rsidP="005762B0">
                  <w:r>
                    <w:t>12.11 Register to Vote at Age 18</w:t>
                  </w:r>
                </w:p>
                <w:p w:rsidR="005762B0" w:rsidRDefault="00723D6A" w:rsidP="005762B0">
                  <w:r>
                    <w:t>12.12 Conduct “Transition Status” Meeting</w:t>
                  </w:r>
                </w:p>
                <w:p w:rsidR="005762B0" w:rsidRDefault="00723D6A" w:rsidP="005762B0"/>
                <w:p w:rsidR="005762B0" w:rsidRDefault="00723D6A" w:rsidP="005762B0"/>
              </w:txbxContent>
            </v:textbox>
          </v:shape>
        </w:pict>
      </w:r>
    </w:p>
    <w:sectPr w:rsidR="005762B0" w:rsidSect="005762B0">
      <w:type w:val="continuous"/>
      <w:pgSz w:w="15840" w:h="12240" w:orient="landscape"/>
      <w:pgMar w:top="1584" w:right="1008" w:bottom="1296"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2B0" w:rsidRDefault="00723D6A">
      <w:r>
        <w:separator/>
      </w:r>
    </w:p>
  </w:endnote>
  <w:endnote w:type="continuationSeparator" w:id="1">
    <w:p w:rsidR="005762B0" w:rsidRDefault="00723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Geneva">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B0" w:rsidRPr="0000158E" w:rsidRDefault="00723D6A" w:rsidP="005762B0">
    <w:pPr>
      <w:pStyle w:val="Footer"/>
      <w:jc w:val="right"/>
      <w:rPr>
        <w:i/>
        <w:sz w:val="18"/>
        <w:szCs w:val="18"/>
      </w:rPr>
    </w:pPr>
    <w:r>
      <w:rPr>
        <w:i/>
        <w:sz w:val="18"/>
        <w:szCs w:val="18"/>
      </w:rPr>
      <w:t xml:space="preserve"> Transition Guide, </w:t>
    </w:r>
    <w:r w:rsidRPr="0000158E">
      <w:rPr>
        <w:i/>
        <w:sz w:val="18"/>
        <w:szCs w:val="18"/>
      </w:rPr>
      <w:t>2007</w:t>
    </w:r>
    <w:r>
      <w:rPr>
        <w:i/>
        <w:sz w:val="18"/>
        <w:szCs w:val="18"/>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2B0" w:rsidRDefault="00723D6A">
      <w:r>
        <w:separator/>
      </w:r>
    </w:p>
  </w:footnote>
  <w:footnote w:type="continuationSeparator" w:id="1">
    <w:p w:rsidR="005762B0" w:rsidRDefault="00723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6310A"/>
    <w:multiLevelType w:val="multilevel"/>
    <w:tmpl w:val="70BA23C0"/>
    <w:lvl w:ilvl="0">
      <w:start w:val="10"/>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0245F4E"/>
    <w:multiLevelType w:val="multilevel"/>
    <w:tmpl w:val="F790ED06"/>
    <w:lvl w:ilvl="0">
      <w:start w:val="8"/>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0158E"/>
    <w:rsid w:val="00723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rsid w:val="00085BA6"/>
    <w:pPr>
      <w:keepNext/>
      <w:jc w:val="center"/>
      <w:outlineLvl w:val="0"/>
    </w:pPr>
    <w:rPr>
      <w:b/>
      <w:i/>
    </w:rPr>
  </w:style>
  <w:style w:type="paragraph" w:styleId="Heading2">
    <w:name w:val="heading 2"/>
    <w:basedOn w:val="Normal"/>
    <w:next w:val="Normal"/>
    <w:qFormat/>
    <w:rsid w:val="00085BA6"/>
    <w:pPr>
      <w:keepNext/>
      <w:jc w:val="center"/>
      <w:outlineLvl w:val="1"/>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Helvetica" w:hAnsi="Helvetica"/>
    </w:rPr>
  </w:style>
  <w:style w:type="paragraph" w:styleId="BodyText">
    <w:name w:val="Body Text"/>
    <w:basedOn w:val="Normal"/>
    <w:pPr>
      <w:jc w:val="center"/>
    </w:pPr>
    <w:rPr>
      <w:sz w:val="32"/>
    </w:rPr>
  </w:style>
  <w:style w:type="paragraph" w:styleId="BodyText2">
    <w:name w:val="Body Text 2"/>
    <w:basedOn w:val="Normal"/>
    <w:pPr>
      <w:jc w:val="both"/>
    </w:pPr>
  </w:style>
  <w:style w:type="paragraph" w:styleId="Header">
    <w:name w:val="header"/>
    <w:basedOn w:val="Normal"/>
    <w:rsid w:val="0000158E"/>
    <w:pPr>
      <w:tabs>
        <w:tab w:val="center" w:pos="4320"/>
        <w:tab w:val="right" w:pos="8640"/>
      </w:tabs>
    </w:pPr>
  </w:style>
  <w:style w:type="paragraph" w:styleId="Footer">
    <w:name w:val="footer"/>
    <w:basedOn w:val="Normal"/>
    <w:rsid w:val="0000158E"/>
    <w:pPr>
      <w:tabs>
        <w:tab w:val="center" w:pos="4320"/>
        <w:tab w:val="right" w:pos="8640"/>
      </w:tabs>
    </w:pPr>
  </w:style>
  <w:style w:type="character" w:styleId="PageNumber">
    <w:name w:val="page number"/>
    <w:basedOn w:val="DefaultParagraphFont"/>
    <w:rsid w:val="00196000"/>
  </w:style>
  <w:style w:type="table" w:styleId="TableGrid">
    <w:name w:val="Table Grid"/>
    <w:basedOn w:val="TableNormal"/>
    <w:rsid w:val="00085B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085BA6"/>
    <w:pPr>
      <w:jc w:val="center"/>
    </w:pPr>
    <w:rPr>
      <w:rFonts w:ascii="Geneva" w:hAnsi="Geneva"/>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2758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Activities/Services for Effective Transition for Henry CO Youth with Disabilities</vt:lpstr>
    </vt:vector>
  </TitlesOfParts>
  <Company>Henry County Extension</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Activities/Services for Effective Transition for Henry CO Youth with Disabilities</dc:title>
  <dc:subject/>
  <dc:creator>Trial User</dc:creator>
  <cp:keywords/>
  <cp:lastModifiedBy>Margaret Noon</cp:lastModifiedBy>
  <cp:revision>2</cp:revision>
  <cp:lastPrinted>2007-09-23T14:54:00Z</cp:lastPrinted>
  <dcterms:created xsi:type="dcterms:W3CDTF">2008-11-17T19:45:00Z</dcterms:created>
  <dcterms:modified xsi:type="dcterms:W3CDTF">2008-11-17T19:45:00Z</dcterms:modified>
</cp:coreProperties>
</file>