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8C" w:rsidRDefault="00C12A8C">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ONSUMER</w:t>
      </w:r>
      <w:r>
        <w:rPr>
          <w:rFonts w:ascii="CG Times" w:hAnsi="CG Times"/>
          <w:b/>
          <w:bCs/>
          <w:color w:val="0000FF"/>
          <w:sz w:val="60"/>
        </w:rPr>
        <w:t xml:space="preserve"> </w:t>
      </w:r>
      <w:r>
        <w:rPr>
          <w:rFonts w:ascii="CG Times" w:hAnsi="CG Times"/>
          <w:b/>
          <w:bCs/>
          <w:color w:val="0000FF"/>
          <w:sz w:val="100"/>
        </w:rPr>
        <w:t>A</w:t>
      </w:r>
      <w:r>
        <w:rPr>
          <w:rFonts w:ascii="CG Times" w:hAnsi="CG Times"/>
          <w:b/>
          <w:bCs/>
          <w:color w:val="0000FF"/>
          <w:sz w:val="76"/>
        </w:rPr>
        <w:t>DVISORY</w:t>
      </w:r>
    </w:p>
    <w:p w:rsidR="00C12A8C" w:rsidRDefault="00D43BF8" w:rsidP="00D43BF8">
      <w:pPr>
        <w:pStyle w:val="Heading1"/>
        <w:tabs>
          <w:tab w:val="left" w:pos="3600"/>
          <w:tab w:val="left" w:pos="5040"/>
        </w:tabs>
        <w:ind w:left="-540"/>
        <w:jc w:val="left"/>
      </w:pPr>
      <w:r w:rsidRPr="00D43BF8">
        <w:rPr>
          <w:sz w:val="24"/>
        </w:rPr>
        <w:t>October 2009</w:t>
      </w:r>
      <w:r w:rsidR="004F0CE8">
        <w:rPr>
          <w:sz w:val="28"/>
          <w:szCs w:val="28"/>
        </w:rPr>
        <w:t xml:space="preserve">                   </w:t>
      </w:r>
      <w:r>
        <w:rPr>
          <w:sz w:val="28"/>
          <w:szCs w:val="28"/>
        </w:rPr>
        <w:t xml:space="preserve">     </w:t>
      </w:r>
      <w:r>
        <w:rPr>
          <w:sz w:val="28"/>
          <w:szCs w:val="28"/>
        </w:rPr>
        <w:tab/>
      </w:r>
      <w:r w:rsidRPr="00D43BF8">
        <w:rPr>
          <w:szCs w:val="40"/>
        </w:rPr>
        <w:t>B</w:t>
      </w:r>
      <w:r w:rsidR="00C12A8C">
        <w:t xml:space="preserve">y Attorney General </w:t>
      </w:r>
      <w:smartTag w:uri="urn:schemas-microsoft-com:office:smarttags" w:element="PersonName">
        <w:r w:rsidR="00C12A8C">
          <w:t>Tom</w:t>
        </w:r>
      </w:smartTag>
      <w:r w:rsidR="00C12A8C">
        <w:t xml:space="preserve"> Miller</w:t>
      </w:r>
    </w:p>
    <w:p w:rsidR="00C12A8C" w:rsidRDefault="00C12A8C">
      <w:pPr>
        <w:jc w:val="both"/>
        <w:rPr>
          <w:rFonts w:ascii="CG Times" w:hAnsi="CG Times"/>
        </w:rPr>
      </w:pPr>
    </w:p>
    <w:p w:rsidR="00C12A8C" w:rsidRDefault="004F0CE8">
      <w:pPr>
        <w:jc w:val="both"/>
        <w:rPr>
          <w:rFonts w:ascii="CG Times" w:hAnsi="CG Times"/>
        </w:rPr>
      </w:pPr>
      <w:r>
        <w:rPr>
          <w:rFonts w:ascii="CG Times" w:hAnsi="CG Times"/>
        </w:rPr>
        <w:pict>
          <v:line id="_x0000_s1027" style="position:absolute;left:0;text-align:left;z-index:251657216" from="-36pt,4.7pt" to="513pt,4.7pt" strokecolor="blue" strokeweight="10pt"/>
        </w:pict>
      </w:r>
    </w:p>
    <w:p w:rsidR="004F0CE8" w:rsidRDefault="004F0CE8" w:rsidP="004F0CE8">
      <w:pPr>
        <w:jc w:val="both"/>
        <w:sectPr w:rsidR="004F0CE8" w:rsidSect="00D43BF8">
          <w:type w:val="continuous"/>
          <w:pgSz w:w="12240" w:h="15840"/>
          <w:pgMar w:top="0" w:right="1440" w:bottom="180" w:left="1440" w:header="720" w:footer="720" w:gutter="0"/>
          <w:cols w:space="720"/>
        </w:sectPr>
      </w:pPr>
    </w:p>
    <w:p w:rsidR="00BD6955" w:rsidRDefault="00BD6955">
      <w:pPr>
        <w:jc w:val="both"/>
        <w:rPr>
          <w:rFonts w:ascii="CG Times" w:hAnsi="CG Times"/>
        </w:rPr>
      </w:pPr>
    </w:p>
    <w:p w:rsidR="00D43BF8" w:rsidRDefault="00D43BF8" w:rsidP="00C745DB">
      <w:pPr>
        <w:widowControl w:val="0"/>
        <w:jc w:val="center"/>
        <w:rPr>
          <w:rFonts w:ascii="Arial" w:hAnsi="Arial" w:cs="Arial"/>
          <w:b/>
          <w:bCs/>
          <w:sz w:val="40"/>
          <w:szCs w:val="40"/>
        </w:rPr>
      </w:pPr>
      <w:r>
        <w:rPr>
          <w:rFonts w:ascii="Arial" w:hAnsi="Arial" w:cs="Arial"/>
          <w:b/>
          <w:bCs/>
          <w:sz w:val="48"/>
          <w:szCs w:val="48"/>
        </w:rPr>
        <w:t>How to Deal With Credit Card Offers</w:t>
      </w:r>
    </w:p>
    <w:p w:rsidR="00D43BF8" w:rsidRDefault="00D43BF8" w:rsidP="00D43BF8">
      <w:pPr>
        <w:widowContro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43BF8" w:rsidRDefault="00D43BF8" w:rsidP="00D43BF8">
      <w:pPr>
        <w:widowControl w:val="0"/>
        <w:rPr>
          <w:rFonts w:ascii="Arial" w:hAnsi="Arial" w:cs="Arial"/>
        </w:rPr>
      </w:pPr>
      <w:r>
        <w:rPr>
          <w:rFonts w:ascii="Arial" w:hAnsi="Arial" w:cs="Arial"/>
        </w:rPr>
        <w:tab/>
        <w:t>Have you received a solicitation by mail or telephone offering you a new credit card?  Should you sign up -- or tear it up?  If you’re interested, how do you “shop” for credit cards?</w:t>
      </w:r>
    </w:p>
    <w:p w:rsidR="00D43BF8" w:rsidRDefault="00D43BF8" w:rsidP="00D43BF8">
      <w:pPr>
        <w:widowControl w:val="0"/>
        <w:rPr>
          <w:rFonts w:ascii="Arial" w:hAnsi="Arial" w:cs="Arial"/>
        </w:rPr>
      </w:pPr>
    </w:p>
    <w:p w:rsidR="00D43BF8" w:rsidRDefault="00D43BF8" w:rsidP="00D43BF8">
      <w:pPr>
        <w:widowControl w:val="0"/>
        <w:rPr>
          <w:rFonts w:ascii="Arial" w:hAnsi="Arial" w:cs="Arial"/>
        </w:rPr>
      </w:pPr>
      <w:r>
        <w:rPr>
          <w:rFonts w:ascii="Arial" w:hAnsi="Arial" w:cs="Arial"/>
        </w:rPr>
        <w:tab/>
      </w:r>
      <w:r>
        <w:rPr>
          <w:rFonts w:ascii="Arial" w:hAnsi="Arial" w:cs="Arial"/>
          <w:b/>
          <w:bCs/>
        </w:rPr>
        <w:t>First of all, consider just saying, NO!</w:t>
      </w:r>
      <w:r>
        <w:rPr>
          <w:rFonts w:ascii="Arial" w:hAnsi="Arial" w:cs="Arial"/>
        </w:rPr>
        <w:t xml:space="preserve">  Use a minimum number of credit cards to avoid falling into expensive credit card debt.  Don’t sign up for a credit card just to get so-called “free” items!  Reduce your credit card solicitations by asking the credit reporting agencies not to sell your name to credit card marketers and others.  Call 888-567-8688 or go to </w:t>
      </w:r>
      <w:r>
        <w:fldChar w:fldCharType="begin"/>
      </w:r>
      <w:r>
        <w:instrText xml:space="preserve"> GOTOBUTTON BM_1_ </w:instrText>
      </w:r>
      <w:r>
        <w:rPr>
          <w:rFonts w:ascii="Arial" w:hAnsi="Arial" w:cs="Arial"/>
        </w:rPr>
        <w:instrText>www.OptOutPrescreen.com</w:instrText>
      </w:r>
      <w:r>
        <w:fldChar w:fldCharType="end"/>
      </w:r>
      <w:r>
        <w:rPr>
          <w:rFonts w:ascii="Arial" w:hAnsi="Arial" w:cs="Arial"/>
        </w:rPr>
        <w:t xml:space="preserve"> </w:t>
      </w:r>
      <w:proofErr w:type="spellStart"/>
      <w:r>
        <w:rPr>
          <w:rFonts w:ascii="Arial" w:hAnsi="Arial" w:cs="Arial"/>
        </w:rPr>
        <w:t>to</w:t>
      </w:r>
      <w:proofErr w:type="spellEnd"/>
      <w:r>
        <w:rPr>
          <w:rFonts w:ascii="Arial" w:hAnsi="Arial" w:cs="Arial"/>
        </w:rPr>
        <w:t xml:space="preserve"> opt out of solicitations for two years, or permanently.</w:t>
      </w:r>
    </w:p>
    <w:p w:rsidR="00D43BF8" w:rsidRDefault="00D43BF8" w:rsidP="00D43BF8">
      <w:pPr>
        <w:widowControl w:val="0"/>
        <w:rPr>
          <w:rFonts w:ascii="Arial" w:hAnsi="Arial" w:cs="Arial"/>
        </w:rPr>
      </w:pPr>
    </w:p>
    <w:p w:rsidR="00D43BF8" w:rsidRDefault="00D43BF8" w:rsidP="00D43BF8">
      <w:pPr>
        <w:widowControl w:val="0"/>
        <w:rPr>
          <w:rFonts w:ascii="Arial" w:hAnsi="Arial" w:cs="Arial"/>
        </w:rPr>
      </w:pPr>
      <w:r>
        <w:rPr>
          <w:rFonts w:ascii="Arial" w:hAnsi="Arial" w:cs="Arial"/>
        </w:rPr>
        <w:tab/>
      </w:r>
      <w:r>
        <w:rPr>
          <w:rFonts w:ascii="Arial" w:hAnsi="Arial" w:cs="Arial"/>
          <w:b/>
          <w:bCs/>
        </w:rPr>
        <w:t>Second, if you are considering a card, shop and compare.</w:t>
      </w:r>
      <w:r>
        <w:rPr>
          <w:rFonts w:ascii="Arial" w:hAnsi="Arial" w:cs="Arial"/>
        </w:rPr>
        <w:t xml:space="preserve">  Take your time.  Get all the information before you decide whether to apply and which card to pick.</w:t>
      </w:r>
      <w:r>
        <w:fldChar w:fldCharType="begin"/>
      </w:r>
      <w:r>
        <w:instrText xml:space="preserve"> GOTOBUTTON BM_2_ </w:instrText>
      </w:r>
      <w:r>
        <w:fldChar w:fldCharType="end"/>
      </w:r>
      <w:r>
        <w:rPr>
          <w:rFonts w:ascii="Arial" w:hAnsi="Arial" w:cs="Arial"/>
        </w:rPr>
        <w:t xml:space="preserve">  Contact your financial institution or your current credit cards, and see if they will match other offers.</w:t>
      </w:r>
    </w:p>
    <w:p w:rsidR="00D43BF8" w:rsidRDefault="00D43BF8" w:rsidP="00D43BF8">
      <w:pPr>
        <w:widowControl w:val="0"/>
        <w:rPr>
          <w:rFonts w:ascii="Arial" w:hAnsi="Arial" w:cs="Arial"/>
        </w:rPr>
      </w:pPr>
    </w:p>
    <w:p w:rsidR="00D43BF8" w:rsidRDefault="00D43BF8" w:rsidP="00D43BF8">
      <w:pPr>
        <w:widowControl w:val="0"/>
        <w:rPr>
          <w:rFonts w:ascii="Arial" w:hAnsi="Arial" w:cs="Arial"/>
        </w:rPr>
      </w:pPr>
      <w:r>
        <w:rPr>
          <w:rFonts w:ascii="Arial" w:hAnsi="Arial" w:cs="Arial"/>
          <w:b/>
          <w:bCs/>
        </w:rPr>
        <w:tab/>
        <w:t>Key questions when you “shop” for a credit card:</w:t>
      </w:r>
      <w:r>
        <w:rPr>
          <w:rFonts w:ascii="Arial" w:hAnsi="Arial" w:cs="Arial"/>
        </w:rPr>
        <w:tab/>
        <w:t xml:space="preserve">  </w:t>
      </w:r>
    </w:p>
    <w:p w:rsidR="00D43BF8" w:rsidRDefault="00D43BF8" w:rsidP="00D43BF8">
      <w:pPr>
        <w:widowControl w:val="0"/>
        <w:rPr>
          <w:rFonts w:ascii="Arial" w:hAnsi="Arial" w:cs="Arial"/>
        </w:rPr>
      </w:pPr>
    </w:p>
    <w:p w:rsidR="00D43BF8" w:rsidRDefault="00D43BF8" w:rsidP="00D43BF8">
      <w:pPr>
        <w:widowControl w:val="0"/>
        <w:numPr>
          <w:ilvl w:val="0"/>
          <w:numId w:val="4"/>
        </w:numPr>
        <w:autoSpaceDE w:val="0"/>
        <w:autoSpaceDN w:val="0"/>
        <w:adjustRightInd w:val="0"/>
        <w:rPr>
          <w:rFonts w:ascii="Arial" w:hAnsi="Arial" w:cs="Arial"/>
        </w:rPr>
      </w:pPr>
      <w:r>
        <w:rPr>
          <w:rFonts w:ascii="Arial" w:hAnsi="Arial" w:cs="Arial"/>
          <w:b/>
          <w:bCs/>
        </w:rPr>
        <w:t xml:space="preserve">What are the interest rates?  </w:t>
      </w:r>
      <w:r>
        <w:rPr>
          <w:rFonts w:ascii="Arial" w:hAnsi="Arial" w:cs="Arial"/>
        </w:rPr>
        <w:t>Cards often have multiple rates, stated as the APR, or annual percentage rate of interest.  Very low advertised rates are usually only “teaser” rates, and a much higher regular rate kicks in after a few months.</w:t>
      </w:r>
    </w:p>
    <w:p w:rsidR="00D43BF8" w:rsidRDefault="00D43BF8" w:rsidP="00D43BF8">
      <w:pPr>
        <w:widowControl w:val="0"/>
        <w:tabs>
          <w:tab w:val="left" w:pos="720"/>
        </w:tabs>
        <w:ind w:left="720" w:hanging="720"/>
        <w:sectPr w:rsidR="00D43BF8" w:rsidSect="00D43BF8">
          <w:type w:val="continuous"/>
          <w:pgSz w:w="12240" w:h="15840"/>
          <w:pgMar w:top="360" w:right="1080" w:bottom="0" w:left="1080" w:header="720" w:footer="720" w:gutter="0"/>
          <w:cols w:space="720"/>
        </w:sectPr>
      </w:pPr>
    </w:p>
    <w:p w:rsidR="00D43BF8" w:rsidRDefault="00D43BF8" w:rsidP="00D43BF8">
      <w:pPr>
        <w:pStyle w:val="1AutoList9"/>
        <w:numPr>
          <w:ilvl w:val="0"/>
          <w:numId w:val="5"/>
        </w:numPr>
        <w:jc w:val="left"/>
        <w:rPr>
          <w:rFonts w:ascii="Arial" w:hAnsi="Arial" w:cs="Arial"/>
        </w:rPr>
      </w:pPr>
      <w:r>
        <w:rPr>
          <w:rFonts w:ascii="Arial" w:hAnsi="Arial" w:cs="Arial"/>
          <w:b/>
          <w:bCs/>
        </w:rPr>
        <w:lastRenderedPageBreak/>
        <w:t>Are there steep “penalty” rates?</w:t>
      </w:r>
      <w:r>
        <w:rPr>
          <w:rFonts w:ascii="Arial" w:hAnsi="Arial" w:cs="Arial"/>
        </w:rPr>
        <w:t xml:space="preserve">  Penalty rates may be triggered by one late payment (even on a different credit card loan), and they can soar as high as 30% APR for some out-of-state card issuers.  So, check penalty rates and terms.</w:t>
      </w:r>
    </w:p>
    <w:p w:rsidR="00D43BF8" w:rsidRDefault="00D43BF8" w:rsidP="00D43BF8">
      <w:pPr>
        <w:pStyle w:val="1AutoList9"/>
        <w:numPr>
          <w:ilvl w:val="0"/>
          <w:numId w:val="4"/>
        </w:numPr>
        <w:jc w:val="left"/>
        <w:rPr>
          <w:rFonts w:ascii="Arial" w:hAnsi="Arial" w:cs="Arial"/>
        </w:rPr>
      </w:pPr>
      <w:r>
        <w:rPr>
          <w:rFonts w:ascii="Arial" w:hAnsi="Arial" w:cs="Arial"/>
          <w:b/>
          <w:bCs/>
        </w:rPr>
        <w:t>Are there other hidden fees?</w:t>
      </w:r>
      <w:r>
        <w:rPr>
          <w:rFonts w:ascii="Arial" w:hAnsi="Arial" w:cs="Arial"/>
        </w:rPr>
        <w:t xml:space="preserve">  Most cards have </w:t>
      </w:r>
      <w:r>
        <w:rPr>
          <w:rFonts w:ascii="Arial" w:hAnsi="Arial" w:cs="Arial"/>
          <w:u w:val="single"/>
        </w:rPr>
        <w:t>cash-advance fees</w:t>
      </w:r>
      <w:r>
        <w:rPr>
          <w:rFonts w:ascii="Arial" w:hAnsi="Arial" w:cs="Arial"/>
        </w:rPr>
        <w:t xml:space="preserve"> with no “grace period” -- interest charges start immediately.   </w:t>
      </w:r>
      <w:r>
        <w:rPr>
          <w:rFonts w:ascii="Arial" w:hAnsi="Arial" w:cs="Arial"/>
          <w:u w:val="single"/>
        </w:rPr>
        <w:t>Late fees</w:t>
      </w:r>
      <w:r>
        <w:rPr>
          <w:rFonts w:ascii="Arial" w:hAnsi="Arial" w:cs="Arial"/>
        </w:rPr>
        <w:t xml:space="preserve"> and </w:t>
      </w:r>
      <w:r>
        <w:rPr>
          <w:rFonts w:ascii="Arial" w:hAnsi="Arial" w:cs="Arial"/>
          <w:u w:val="single"/>
        </w:rPr>
        <w:t>over-the-limit fees</w:t>
      </w:r>
      <w:r>
        <w:rPr>
          <w:rFonts w:ascii="Arial" w:hAnsi="Arial" w:cs="Arial"/>
        </w:rPr>
        <w:t xml:space="preserve"> can go as high as $30 on some out-of-state cards.  (Cards from </w:t>
      </w:r>
      <w:smartTag w:uri="urn:schemas-microsoft-com:office:smarttags" w:element="State">
        <w:r>
          <w:rPr>
            <w:rFonts w:ascii="Arial" w:hAnsi="Arial" w:cs="Arial"/>
          </w:rPr>
          <w:t>Iowa</w:t>
        </w:r>
      </w:smartTag>
      <w:r>
        <w:rPr>
          <w:rFonts w:ascii="Arial" w:hAnsi="Arial" w:cs="Arial"/>
        </w:rPr>
        <w:t xml:space="preserve"> issuers can’t go that high – another reason to consider cards from </w:t>
      </w:r>
      <w:smartTag w:uri="urn:schemas-microsoft-com:office:smarttags" w:element="place">
        <w:smartTag w:uri="urn:schemas-microsoft-com:office:smarttags" w:element="State">
          <w:r>
            <w:rPr>
              <w:rFonts w:ascii="Arial" w:hAnsi="Arial" w:cs="Arial"/>
            </w:rPr>
            <w:t>Iowa</w:t>
          </w:r>
        </w:smartTag>
      </w:smartTag>
      <w:r>
        <w:rPr>
          <w:rFonts w:ascii="Arial" w:hAnsi="Arial" w:cs="Arial"/>
        </w:rPr>
        <w:t xml:space="preserve"> credit unions and banks.)  See if the card charges an </w:t>
      </w:r>
      <w:r>
        <w:rPr>
          <w:rFonts w:ascii="Arial" w:hAnsi="Arial" w:cs="Arial"/>
          <w:u w:val="single"/>
        </w:rPr>
        <w:t>annual fee</w:t>
      </w:r>
      <w:r>
        <w:rPr>
          <w:rFonts w:ascii="Arial" w:hAnsi="Arial" w:cs="Arial"/>
        </w:rPr>
        <w:t xml:space="preserve">.  Also, </w:t>
      </w:r>
      <w:r>
        <w:rPr>
          <w:rFonts w:ascii="Arial" w:hAnsi="Arial" w:cs="Arial"/>
          <w:u w:val="single"/>
        </w:rPr>
        <w:t>avoid expensive “add-on” items</w:t>
      </w:r>
      <w:r>
        <w:rPr>
          <w:rFonts w:ascii="Arial" w:hAnsi="Arial" w:cs="Arial"/>
        </w:rPr>
        <w:t xml:space="preserve"> such as credit card protection plans, insurance, or buyers’ clubs.</w:t>
      </w:r>
    </w:p>
    <w:p w:rsidR="00D43BF8" w:rsidRDefault="00D43BF8" w:rsidP="00D43BF8">
      <w:pPr>
        <w:widowControl w:val="0"/>
        <w:rPr>
          <w:rFonts w:ascii="Arial" w:hAnsi="Arial" w:cs="Arial"/>
        </w:rPr>
      </w:pPr>
    </w:p>
    <w:p w:rsidR="00D43BF8" w:rsidRDefault="00D43BF8" w:rsidP="00D43BF8">
      <w:pPr>
        <w:widowControl w:val="0"/>
        <w:rPr>
          <w:rFonts w:ascii="Arial" w:hAnsi="Arial" w:cs="Arial"/>
        </w:rPr>
      </w:pPr>
      <w:r>
        <w:rPr>
          <w:rFonts w:ascii="Arial" w:hAnsi="Arial" w:cs="Arial"/>
        </w:rPr>
        <w:tab/>
        <w:t xml:space="preserve">Manage your credit cards carefully to avoid expensive credit card debt.  Pay on time and pay the full balance each month if you possibly can.  Most credit card companies will not impose a finance charge (except on cash advances) if you pay in full before the due-date on your bill.  Avoid “maxing-out” on cards or paying only the minimum amount due.  For more tips on credit card hazards, go to:  </w:t>
      </w:r>
      <w:r>
        <w:fldChar w:fldCharType="begin"/>
      </w:r>
      <w:r>
        <w:instrText xml:space="preserve"> GOTOBUTTON BM_3_ </w:instrText>
      </w:r>
      <w:r>
        <w:rPr>
          <w:rFonts w:ascii="Arial" w:hAnsi="Arial" w:cs="Arial"/>
        </w:rPr>
        <w:instrText>www.truthaboutcredit.com/roadmap.html</w:instrText>
      </w:r>
      <w:r>
        <w:fldChar w:fldCharType="end"/>
      </w:r>
      <w:r>
        <w:rPr>
          <w:rFonts w:ascii="Arial" w:hAnsi="Arial" w:cs="Arial"/>
        </w:rPr>
        <w:t>.</w:t>
      </w:r>
    </w:p>
    <w:p w:rsidR="00D43BF8" w:rsidRDefault="00D43BF8" w:rsidP="00D43BF8">
      <w:pPr>
        <w:widowControl w:val="0"/>
        <w:rPr>
          <w:rFonts w:ascii="Arial" w:hAnsi="Arial" w:cs="Arial"/>
        </w:rPr>
      </w:pPr>
      <w:r>
        <w:rPr>
          <w:rFonts w:ascii="Arial" w:hAnsi="Arial" w:cs="Arial"/>
        </w:rPr>
        <w:tab/>
        <w:t>The Credit Card Act of 2009 will provide many new protections for consumers, such as over-the-limit fee protections, minimum terms for introductory rates, and more protection for young consumers -- but the new law doesn’t go into effect until February 22, 2010.</w:t>
      </w:r>
    </w:p>
    <w:p w:rsidR="00D43BF8" w:rsidRDefault="00D43BF8" w:rsidP="00D43BF8">
      <w:pPr>
        <w:widowControl w:val="0"/>
        <w:rPr>
          <w:rFonts w:ascii="Arial" w:hAnsi="Arial" w:cs="Arial"/>
        </w:rPr>
      </w:pPr>
    </w:p>
    <w:p w:rsidR="00D43BF8" w:rsidRPr="00D43BF8" w:rsidRDefault="00D43BF8" w:rsidP="00D43BF8">
      <w:pPr>
        <w:widowControl w:val="0"/>
      </w:pPr>
      <w:r>
        <w:rPr>
          <w:rFonts w:ascii="Arial" w:hAnsi="Arial" w:cs="Arial"/>
        </w:rPr>
        <w:tab/>
      </w:r>
      <w:r>
        <w:fldChar w:fldCharType="begin"/>
      </w:r>
      <w:r>
        <w:instrText xml:space="preserve"> GOTOBUTTON BM_4_ </w:instrText>
      </w:r>
      <w:r>
        <w:fldChar w:fldCharType="end"/>
      </w:r>
      <w:r>
        <w:fldChar w:fldCharType="begin"/>
      </w:r>
      <w:r>
        <w:instrText xml:space="preserve"> GOTOBUTTON BM_5_ </w:instrText>
      </w:r>
      <w:r>
        <w:fldChar w:fldCharType="end"/>
      </w:r>
      <w:r>
        <w:rPr>
          <w:rFonts w:ascii="Arial" w:hAnsi="Arial" w:cs="Arial"/>
        </w:rPr>
        <w:t xml:space="preserve"> To file a complaint or get more information, contact the Iowa Attorney General’s Consumer Protection Div., Hoover Bldg.,  </w:t>
      </w:r>
      <w:smartTag w:uri="urn:schemas-microsoft-com:office:smarttags" w:element="place">
        <w:smartTag w:uri="urn:schemas-microsoft-com:office:smarttags" w:element="City">
          <w:r>
            <w:rPr>
              <w:rFonts w:ascii="Arial" w:hAnsi="Arial" w:cs="Arial"/>
            </w:rPr>
            <w:t>Des Moines</w:t>
          </w:r>
        </w:smartTag>
        <w:r>
          <w:rPr>
            <w:rFonts w:ascii="Arial" w:hAnsi="Arial" w:cs="Arial"/>
          </w:rPr>
          <w:t xml:space="preserve">, </w:t>
        </w:r>
        <w:smartTag w:uri="urn:schemas-microsoft-com:office:smarttags" w:element="State">
          <w:r>
            <w:rPr>
              <w:rFonts w:ascii="Arial" w:hAnsi="Arial" w:cs="Arial"/>
            </w:rPr>
            <w:t>IA</w:t>
          </w:r>
        </w:smartTag>
        <w:r>
          <w:rPr>
            <w:rFonts w:ascii="Arial" w:hAnsi="Arial" w:cs="Arial"/>
          </w:rPr>
          <w:t xml:space="preserve"> </w:t>
        </w:r>
        <w:smartTag w:uri="urn:schemas-microsoft-com:office:smarttags" w:element="PostalCode">
          <w:r>
            <w:rPr>
              <w:rFonts w:ascii="Arial" w:hAnsi="Arial" w:cs="Arial"/>
            </w:rPr>
            <w:t>50319</w:t>
          </w:r>
        </w:smartTag>
      </w:smartTag>
      <w:r>
        <w:rPr>
          <w:rFonts w:ascii="Arial" w:hAnsi="Arial" w:cs="Arial"/>
        </w:rPr>
        <w:t xml:space="preserve">.  Call 515-281-5926, or toll-free to 888-777-4590.  The web site is: </w:t>
      </w:r>
      <w:r>
        <w:fldChar w:fldCharType="begin"/>
      </w:r>
      <w:r>
        <w:instrText xml:space="preserve"> GOTOBUTTON BM_6_ </w:instrText>
      </w:r>
      <w:r>
        <w:rPr>
          <w:rFonts w:ascii="Arial" w:hAnsi="Arial" w:cs="Arial"/>
        </w:rPr>
        <w:instrText>www.IowaAttorneyGeneral.gov</w:instrText>
      </w:r>
      <w:r>
        <w:fldChar w:fldCharType="end"/>
      </w:r>
      <w:r>
        <w:rPr>
          <w:rFonts w:ascii="Arial" w:hAnsi="Arial" w:cs="Arial"/>
        </w:rPr>
        <w:t>.</w:t>
      </w:r>
    </w:p>
    <w:p w:rsidR="00D43BF8" w:rsidRDefault="00D43BF8" w:rsidP="00BD6955">
      <w:pPr>
        <w:jc w:val="center"/>
        <w:rPr>
          <w:rFonts w:ascii="CG Times" w:hAnsi="CG Times"/>
        </w:rPr>
      </w:pPr>
    </w:p>
    <w:p w:rsidR="00C12A8C" w:rsidRPr="00C745DB" w:rsidRDefault="00BD6955" w:rsidP="00C745DB">
      <w:pPr>
        <w:jc w:val="center"/>
        <w:rPr>
          <w:rFonts w:ascii="CG Times" w:hAnsi="CG Times"/>
          <w:sz w:val="22"/>
          <w:szCs w:val="22"/>
          <w:lang w:val="fr-FR"/>
        </w:rPr>
      </w:pPr>
      <w:r w:rsidRPr="00C745DB">
        <w:rPr>
          <w:rFonts w:ascii="CG Times" w:hAnsi="CG Times"/>
          <w:b/>
          <w:bCs/>
          <w:color w:val="0000FF"/>
          <w:sz w:val="22"/>
          <w:szCs w:val="22"/>
          <w:lang w:val="fr-FR"/>
        </w:rPr>
        <w:t xml:space="preserve">Consumer Protection Division </w:t>
      </w:r>
      <w:r w:rsidRPr="00C745DB">
        <w:rPr>
          <w:rFonts w:ascii="WP TypographicSymbols" w:hAnsi="WP TypographicSymbols"/>
          <w:color w:val="0000FF"/>
          <w:sz w:val="22"/>
          <w:szCs w:val="22"/>
          <w:lang w:val="fr-FR"/>
        </w:rPr>
        <w:t xml:space="preserve">! </w:t>
      </w:r>
      <w:r w:rsidRPr="00C745DB">
        <w:rPr>
          <w:rFonts w:ascii="CG Times" w:hAnsi="CG Times"/>
          <w:b/>
          <w:bCs/>
          <w:color w:val="0000FF"/>
          <w:sz w:val="22"/>
          <w:szCs w:val="22"/>
          <w:lang w:val="fr-FR"/>
        </w:rPr>
        <w:t>Hoover</w:t>
      </w:r>
      <w:r w:rsidR="001B54E4" w:rsidRPr="00C745DB">
        <w:rPr>
          <w:rFonts w:ascii="CG Times" w:hAnsi="CG Times"/>
          <w:b/>
          <w:bCs/>
          <w:color w:val="0000FF"/>
          <w:sz w:val="22"/>
          <w:szCs w:val="22"/>
          <w:lang w:val="fr-FR"/>
        </w:rPr>
        <w:t xml:space="preserve"> Bldg.</w:t>
      </w:r>
      <w:r w:rsidRPr="00C745DB">
        <w:rPr>
          <w:rFonts w:ascii="CG Times" w:hAnsi="CG Times"/>
          <w:b/>
          <w:bCs/>
          <w:color w:val="0000FF"/>
          <w:sz w:val="22"/>
          <w:szCs w:val="22"/>
          <w:lang w:val="fr-FR"/>
        </w:rPr>
        <w:t xml:space="preserve"> </w:t>
      </w:r>
      <w:r w:rsidRPr="00C745DB">
        <w:rPr>
          <w:rFonts w:ascii="WP TypographicSymbols" w:hAnsi="WP TypographicSymbols"/>
          <w:color w:val="0000FF"/>
          <w:sz w:val="22"/>
          <w:szCs w:val="22"/>
          <w:lang w:val="fr-FR"/>
        </w:rPr>
        <w:t xml:space="preserve">! </w:t>
      </w:r>
      <w:r w:rsidRPr="00C745DB">
        <w:rPr>
          <w:rFonts w:ascii="CG Times" w:hAnsi="CG Times"/>
          <w:b/>
          <w:bCs/>
          <w:color w:val="0000FF"/>
          <w:sz w:val="22"/>
          <w:szCs w:val="22"/>
          <w:lang w:val="fr-FR"/>
        </w:rPr>
        <w:t>Des Moines</w:t>
      </w:r>
      <w:r w:rsidR="001B54E4" w:rsidRPr="00C745DB">
        <w:rPr>
          <w:rFonts w:ascii="CG Times" w:hAnsi="CG Times"/>
          <w:b/>
          <w:bCs/>
          <w:color w:val="0000FF"/>
          <w:sz w:val="22"/>
          <w:szCs w:val="22"/>
          <w:lang w:val="fr-FR"/>
        </w:rPr>
        <w:t>, IA</w:t>
      </w:r>
      <w:r w:rsidRPr="00C745DB">
        <w:rPr>
          <w:rFonts w:ascii="CG Times" w:hAnsi="CG Times"/>
          <w:b/>
          <w:bCs/>
          <w:color w:val="0000FF"/>
          <w:sz w:val="22"/>
          <w:szCs w:val="22"/>
          <w:lang w:val="fr-FR"/>
        </w:rPr>
        <w:t xml:space="preserve"> 50319 </w:t>
      </w:r>
      <w:r w:rsidRPr="00C745DB">
        <w:rPr>
          <w:rFonts w:ascii="WP TypographicSymbols" w:hAnsi="WP TypographicSymbols"/>
          <w:color w:val="0000FF"/>
          <w:sz w:val="22"/>
          <w:szCs w:val="22"/>
          <w:lang w:val="fr-FR"/>
        </w:rPr>
        <w:t>!</w:t>
      </w:r>
      <w:r w:rsidR="001B54E4" w:rsidRPr="00C745DB">
        <w:rPr>
          <w:rFonts w:ascii="CG Times" w:hAnsi="CG Times"/>
          <w:b/>
          <w:bCs/>
          <w:color w:val="0000FF"/>
          <w:sz w:val="22"/>
          <w:szCs w:val="22"/>
          <w:lang w:val="fr-FR"/>
        </w:rPr>
        <w:t xml:space="preserve"> 515/281-5926 </w:t>
      </w:r>
      <w:r w:rsidR="001B54E4" w:rsidRPr="00C745DB">
        <w:rPr>
          <w:rFonts w:ascii="WP TypographicSymbols" w:hAnsi="WP TypographicSymbols"/>
          <w:color w:val="0000FF"/>
          <w:sz w:val="22"/>
          <w:szCs w:val="22"/>
          <w:lang w:val="fr-FR"/>
        </w:rPr>
        <w:t>!</w:t>
      </w:r>
      <w:r w:rsidR="001B54E4" w:rsidRPr="00C745DB">
        <w:rPr>
          <w:rFonts w:ascii="CG Times" w:hAnsi="CG Times"/>
          <w:b/>
          <w:bCs/>
          <w:color w:val="0000FF"/>
          <w:sz w:val="22"/>
          <w:szCs w:val="22"/>
          <w:lang w:val="fr-FR"/>
        </w:rPr>
        <w:t xml:space="preserve"> 88/777-4590</w:t>
      </w:r>
    </w:p>
    <w:p w:rsidR="00C12A8C" w:rsidRPr="001B54E4" w:rsidRDefault="00C12A8C">
      <w:pPr>
        <w:jc w:val="both"/>
        <w:rPr>
          <w:rFonts w:ascii="CG Times" w:hAnsi="CG Times"/>
          <w:lang w:val="fr-FR"/>
        </w:rPr>
      </w:pPr>
      <w:r>
        <w:rPr>
          <w:rFonts w:ascii="CG Times" w:hAnsi="CG Times"/>
          <w:noProof/>
          <w:sz w:val="20"/>
        </w:rPr>
        <w:pict>
          <v:line id="_x0000_s1028" style="position:absolute;left:0;text-align:left;z-index:251658240" from="0,11.4pt" to="549pt,11.4pt" strokecolor="blue" strokeweight="10pt"/>
        </w:pict>
      </w:r>
    </w:p>
    <w:sectPr w:rsidR="00C12A8C" w:rsidRPr="001B54E4" w:rsidSect="00D43BF8">
      <w:type w:val="continuous"/>
      <w:pgSz w:w="12240" w:h="15840"/>
      <w:pgMar w:top="0" w:right="108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3199"/>
    <w:multiLevelType w:val="multilevel"/>
    <w:tmpl w:val="07189258"/>
    <w:lvl w:ilvl="0">
      <w:start w:val="1"/>
      <w:numFmt w:val="bullet"/>
      <w:lvlText w:val=""/>
      <w:lvlJc w:val="left"/>
      <w:pPr>
        <w:tabs>
          <w:tab w:val="num" w:pos="720"/>
        </w:tabs>
        <w:ind w:left="720" w:hanging="360"/>
      </w:pPr>
      <w:rPr>
        <w:rFonts w:ascii="Symbol" w:hAnsi="Symbol"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1">
    <w:nsid w:val="2C6F5CD6"/>
    <w:multiLevelType w:val="hybridMultilevel"/>
    <w:tmpl w:val="9F6EA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2563CD"/>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3">
    <w:nsid w:val="694E26E7"/>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abstractNum w:abstractNumId="4">
    <w:nsid w:val="72FA223A"/>
    <w:multiLevelType w:val="multilevel"/>
    <w:tmpl w:val="0178AD8C"/>
    <w:lvl w:ilvl="0">
      <w:start w:val="1"/>
      <w:numFmt w:val="none"/>
      <w:lvlText w:val=""/>
      <w:legacy w:legacy="1" w:legacySpace="0" w:legacyIndent="720"/>
      <w:lvlJc w:val="left"/>
      <w:pPr>
        <w:ind w:left="720" w:hanging="720"/>
      </w:pPr>
      <w:rPr>
        <w:rFonts w:ascii="WP MathA" w:hAnsi="WP MathA" w:hint="default"/>
      </w:rPr>
    </w:lvl>
    <w:lvl w:ilvl="1">
      <w:start w:val="1"/>
      <w:numFmt w:val="none"/>
      <w:lvlText w:val=""/>
      <w:legacy w:legacy="1" w:legacySpace="0" w:legacyIndent="720"/>
      <w:lvlJc w:val="left"/>
      <w:pPr>
        <w:ind w:left="1440" w:hanging="720"/>
      </w:pPr>
      <w:rPr>
        <w:rFonts w:ascii="WP MathA" w:hAnsi="WP MathA" w:hint="default"/>
      </w:rPr>
    </w:lvl>
    <w:lvl w:ilvl="2">
      <w:start w:val="1"/>
      <w:numFmt w:val="none"/>
      <w:lvlText w:val=""/>
      <w:legacy w:legacy="1" w:legacySpace="0" w:legacyIndent="720"/>
      <w:lvlJc w:val="left"/>
      <w:pPr>
        <w:ind w:left="2160" w:hanging="720"/>
      </w:pPr>
      <w:rPr>
        <w:rFonts w:ascii="WP MathA" w:hAnsi="WP MathA" w:hint="default"/>
      </w:rPr>
    </w:lvl>
    <w:lvl w:ilvl="3">
      <w:start w:val="1"/>
      <w:numFmt w:val="none"/>
      <w:lvlText w:val=""/>
      <w:legacy w:legacy="1" w:legacySpace="0" w:legacyIndent="720"/>
      <w:lvlJc w:val="left"/>
      <w:pPr>
        <w:ind w:left="2880" w:hanging="720"/>
      </w:pPr>
      <w:rPr>
        <w:rFonts w:ascii="WP MathA" w:hAnsi="WP MathA" w:hint="default"/>
      </w:rPr>
    </w:lvl>
    <w:lvl w:ilvl="4">
      <w:start w:val="1"/>
      <w:numFmt w:val="none"/>
      <w:lvlText w:val=""/>
      <w:legacy w:legacy="1" w:legacySpace="0" w:legacyIndent="720"/>
      <w:lvlJc w:val="left"/>
      <w:pPr>
        <w:ind w:left="3600" w:hanging="720"/>
      </w:pPr>
      <w:rPr>
        <w:rFonts w:ascii="WP MathA" w:hAnsi="WP MathA" w:hint="default"/>
      </w:rPr>
    </w:lvl>
    <w:lvl w:ilvl="5">
      <w:start w:val="1"/>
      <w:numFmt w:val="none"/>
      <w:lvlText w:val=""/>
      <w:legacy w:legacy="1" w:legacySpace="0" w:legacyIndent="720"/>
      <w:lvlJc w:val="left"/>
      <w:pPr>
        <w:ind w:left="4320" w:hanging="720"/>
      </w:pPr>
      <w:rPr>
        <w:rFonts w:ascii="WP MathA" w:hAnsi="WP MathA" w:hint="default"/>
      </w:rPr>
    </w:lvl>
    <w:lvl w:ilvl="6">
      <w:start w:val="1"/>
      <w:numFmt w:val="none"/>
      <w:lvlText w:val=""/>
      <w:legacy w:legacy="1" w:legacySpace="0" w:legacyIndent="720"/>
      <w:lvlJc w:val="left"/>
      <w:pPr>
        <w:ind w:left="5040" w:hanging="720"/>
      </w:pPr>
      <w:rPr>
        <w:rFonts w:ascii="WP MathA" w:hAnsi="WP MathA" w:hint="default"/>
      </w:rPr>
    </w:lvl>
    <w:lvl w:ilvl="7">
      <w:start w:val="1"/>
      <w:numFmt w:val="none"/>
      <w:lvlText w:val=""/>
      <w:legacy w:legacy="1" w:legacySpace="0" w:legacyIndent="720"/>
      <w:lvlJc w:val="left"/>
      <w:pPr>
        <w:ind w:left="5760" w:hanging="720"/>
      </w:pPr>
      <w:rPr>
        <w:rFonts w:ascii="WP MathA" w:hAnsi="WP MathA" w:hint="default"/>
      </w:rPr>
    </w:lvl>
    <w:lvl w:ilvl="8">
      <w:start w:val="1"/>
      <w:numFmt w:val="lowerRoman"/>
      <w:lvlText w:val="%9"/>
      <w:legacy w:legacy="1" w:legacySpace="0" w:legacyIndent="720"/>
      <w:lvlJc w:val="left"/>
      <w:pPr>
        <w:ind w:left="6480" w:hanging="7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compat/>
  <w:rsids>
    <w:rsidRoot w:val="00BD6955"/>
    <w:rsid w:val="000A1EB2"/>
    <w:rsid w:val="001A3D68"/>
    <w:rsid w:val="001B54E4"/>
    <w:rsid w:val="004F0CE8"/>
    <w:rsid w:val="009343C0"/>
    <w:rsid w:val="00BD6955"/>
    <w:rsid w:val="00C12A8C"/>
    <w:rsid w:val="00C745DB"/>
    <w:rsid w:val="00D43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CG Times" w:hAnsi="CG Times"/>
      <w:b/>
      <w:bCs/>
      <w:color w:val="0000FF"/>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Paragraph">
    <w:name w:val="1Paragraph"/>
    <w:rsid w:val="004F0CE8"/>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1AutoList9">
    <w:name w:val="1AutoList9"/>
    <w:rsid w:val="00D43BF8"/>
    <w:pPr>
      <w:widowControl w:val="0"/>
      <w:tabs>
        <w:tab w:val="left" w:pos="720"/>
      </w:tabs>
      <w:autoSpaceDE w:val="0"/>
      <w:autoSpaceDN w:val="0"/>
      <w:adjustRightInd w:val="0"/>
      <w:ind w:left="720" w:hanging="720"/>
      <w:jc w:val="both"/>
    </w:pPr>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CONSUMER ADVISORY</vt:lpstr>
    </vt:vector>
  </TitlesOfParts>
  <Company>Iowa Attorney General</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subject/>
  <dc:creator>General Staff</dc:creator>
  <cp:keywords/>
  <dc:description/>
  <cp:lastModifiedBy>Margaret Noon</cp:lastModifiedBy>
  <cp:revision>2</cp:revision>
  <dcterms:created xsi:type="dcterms:W3CDTF">2009-10-01T16:50:00Z</dcterms:created>
  <dcterms:modified xsi:type="dcterms:W3CDTF">2009-10-01T16:50:00Z</dcterms:modified>
</cp:coreProperties>
</file>